
<file path=[Content_Types].xml><?xml version="1.0" encoding="utf-8"?>
<Types xmlns="http://schemas.openxmlformats.org/package/2006/content-types">
  <Default Extension="png" ContentType="image/png"/>
  <Default Extension="jpeg" ContentType="image/jpeg"/>
  <Default Extension="xml" ContentType="application/xml"/>
  <Default Extension="emf" ContentType="image/x-emf"/>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word/media/image4.png" ContentType="image/png"/>
  <Override PartName="/word/header2.xml" ContentType="application/vnd.openxmlformats-officedocument.wordprocessingml.header+xml"/>
  <Override PartName="/word/styles.xml" ContentType="application/vnd.openxmlformats-officedocument.wordprocessingml.styles+xml"/>
  <Override PartName="/word/media/image1.jpeg" ContentType="image/jpeg"/>
  <Override PartName="/word/footer3.xml" ContentType="application/vnd.openxmlformats-officedocument.wordprocessingml.footer+xml"/>
  <Override PartName="/word/media/image2.emf" ContentType="image/x-emf"/>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media/image3.emf" ContentType="image/x-emf"/>
  <Override PartName="/word/header3.xml" ContentType="application/vnd.openxmlformats-officedocument.wordprocessingml.header+xml"/>
  <Override PartName="/word/media/image1.emf" ContentType="image/x-emf"/>
  <Override PartName="/docProps/core.xml" ContentType="application/vnd.openxmlformats-package.core-properties+xml"/>
  <Override PartName="/word/media/image3.jpeg" ContentType="image/jpeg"/>
  <Override PartName="/word/media/image1.png" ContentType="image/png"/>
  <Override PartName="/word/media/image2.png" ContentType="image/png"/>
  <Override PartName="/word/footer1.xml" ContentType="application/vnd.openxmlformats-officedocument.wordprocessingml.footer+xml"/>
  <Override PartName="/word/header4.xml" ContentType="application/vnd.openxmlformats-officedocument.wordprocessingml.header+xml"/>
  <Override PartName="/word/document.xml" ContentType="application/vnd.openxmlformats-officedocument.wordprocessingml.document.main+xml"/>
  <Override PartName="/word/media/image2.jpeg" ContentType="image/jpeg"/>
  <Override PartName="/word/media/image3.png" ContentType="image/png"/>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1" Type="http://schemas.openxmlformats.org/package/2006/relationships/metadata/core-properties" Target="docProps/core.xml" /><Relationship Id="rId2" Type="http://schemas.openxmlformats.org/officeDocument/2006/relationships/extended-properties" Target="docProps/app.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pPr>
        <w:jc w:val="both"/>
        <w:outlineLvl w:val="0"/>
        <w:tabs>
          <w:tab w:val="left" w:pos="180"/>
        </w:tabs>
        <w:spacing w:line="720" w:lineRule="auto"/>
        <w:rPr>
          <w:rFonts w:hint="eastAsia"/>
        </w:rPr>
      </w:pPr>
      <w:bookmarkStart w:id="0" w:name="_Toc9269"/>
      <w:bookmarkEnd w:id="0"/>
      <w:r>
        <w:rPr>
          <w:rFonts w:hint="eastAsia"/>
        </w:rPr>
        <w:drawing>
          <wp:inline distT="0" distB="0" distL="114300" distR="114300">
            <wp:extent cx="1600200" cy="641350"/>
            <wp:effectExtent l="0" t="0" r="0" b="1397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pic:nvPicPr>
                  <pic:blipFill>
                    <a:blip r:embed="rId11"/>
                    <a:stretch>
                      <a:fillRect/>
                    </a:stretch>
                  </pic:blipFill>
                  <pic:spPr>
                    <a:xfrm>
                      <a:off x="0" y="0"/>
                      <a:ext cx="1600200" cy="641350"/>
                    </a:xfrm>
                    <a:prstGeom prst="rect">
                      <a:avLst/>
                    </a:prstGeom>
                    <a:ln w="12700">
                      <a:noFill/>
                    </a:ln>
                  </pic:spPr>
                </pic:pic>
              </a:graphicData>
            </a:graphic>
          </wp:inline>
        </w:drawing>
      </w:r>
    </w:p>
    <w:p>
      <w:pPr>
        <w:pStyle w:val="2"/>
        <w:rPr>
          <w:rFonts w:hint="eastAsia"/>
        </w:rPr>
      </w:pPr>
    </w:p>
    <w:p>
      <w:pPr>
        <w:pStyle w:val="2"/>
        <w:rPr>
          <w:rFonts w:hint="eastAsia"/>
        </w:rPr>
      </w:pPr>
    </w:p>
    <w:p>
      <w:pPr>
        <w:jc w:val="center"/>
        <w:outlineLvl w:val="0"/>
        <w:tabs>
          <w:tab w:val="left" w:pos="180"/>
        </w:tabs>
        <w:spacing w:line="720" w:lineRule="auto"/>
        <w:rPr>
          <w:b w:val="1"/>
          <w:color w:val="FF0000"/>
          <w:sz w:val="60"/>
          <w:bCs/>
          <w:szCs w:val="60"/>
          <w:rFonts w:ascii="楷体" w:hAnsi="楷体" w:eastAsia="楷体" w:cs="宋体"/>
        </w:rPr>
      </w:pPr>
      <w:bookmarkStart w:id="1" w:name="_Toc21732"/>
      <w:bookmarkEnd w:id="1"/>
      <w:r>
        <w:rPr>
          <w:b w:val="1"/>
          <w:color w:val="0070C0"/>
          <w:sz w:val="60"/>
          <w:bCs/>
          <w:szCs w:val="60"/>
          <w:rFonts w:ascii="楷体" w:hAnsi="楷体" w:eastAsia="楷体" w:cs="宋体" w:hint="eastAsia"/>
        </w:rPr>
        <w:t>变压器油色谱在线监测系统</w:t>
      </w:r>
    </w:p>
    <w:p>
      <w:pPr>
        <w:jc w:val="center"/>
        <w:tabs>
          <w:tab w:val="left" w:pos="180"/>
        </w:tabs>
        <w:spacing w:line="720" w:lineRule="auto"/>
        <w:rPr>
          <w:b w:val="1"/>
          <w:color w:val="FF0000"/>
          <w:sz w:val="54"/>
          <w:szCs w:val="44"/>
        </w:rPr>
      </w:pPr>
    </w:p>
    <w:p>
      <w:pPr>
        <w:jc w:val="center"/>
        <w:outlineLvl w:val="0"/>
        <w:tabs>
          <w:tab w:val="left" w:pos="180"/>
        </w:tabs>
        <w:spacing w:line="720" w:lineRule="auto"/>
        <w:rPr>
          <w:b w:val="1"/>
          <w:sz w:val="60"/>
          <w:szCs w:val="60"/>
          <w:rFonts w:ascii="楷体" w:hAnsi="楷体" w:eastAsia="楷体"/>
        </w:rPr>
      </w:pPr>
      <w:bookmarkStart w:id="2" w:name="_Toc14798"/>
      <w:bookmarkEnd w:id="2"/>
      <w:r>
        <w:rPr>
          <w:b w:val="1"/>
          <w:sz w:val="60"/>
          <w:szCs w:val="60"/>
          <w:rFonts w:ascii="楷体" w:hAnsi="楷体" w:eastAsia="楷体" w:hint="eastAsia"/>
        </w:rPr>
        <w:t>使用</w:t>
      </w:r>
      <w:r>
        <w:rPr>
          <w:b w:val="1"/>
          <w:sz w:val="60"/>
          <w:szCs w:val="60"/>
          <w:rFonts w:ascii="楷体" w:hAnsi="楷体" w:eastAsia="楷体"/>
        </w:rPr>
        <w:t>说明书</w:t>
      </w:r>
    </w:p>
    <w:p>
      <w:pPr>
        <w:jc w:val="center"/>
        <w:tabs>
          <w:tab w:val="left" w:pos="180"/>
        </w:tabs>
        <w:spacing w:line="720" w:lineRule="auto"/>
        <w:rPr>
          <w:b w:val="1"/>
          <w:sz w:val="60"/>
          <w:szCs w:val="60"/>
          <w:rFonts w:ascii="楷体" w:hAnsi="楷体" w:eastAsia="楷体"/>
        </w:rPr>
      </w:pPr>
    </w:p>
    <w:p>
      <w:pPr>
        <w:jc w:val="center"/>
        <w:tabs>
          <w:tab w:val="left" w:pos="180"/>
        </w:tabs>
        <w:spacing w:line="720" w:lineRule="auto"/>
        <w:rPr>
          <w:b w:val="1"/>
          <w:sz w:val="60"/>
          <w:szCs w:val="60"/>
          <w:rFonts w:ascii="楷体" w:hAnsi="楷体" w:eastAsia="楷体"/>
        </w:rPr>
      </w:pPr>
    </w:p>
    <w:p>
      <w:pPr>
        <w:jc w:val="both"/>
        <w:tabs>
          <w:tab w:val="left" w:pos="180"/>
        </w:tabs>
        <w:spacing w:line="720" w:lineRule="auto"/>
        <w:rPr>
          <w:b w:val="1"/>
          <w:sz w:val="60"/>
          <w:szCs w:val="60"/>
          <w:rFonts w:ascii="楷体" w:hAnsi="楷体" w:eastAsia="楷体"/>
        </w:rPr>
      </w:pPr>
    </w:p>
    <w:p>
      <w:pPr>
        <w:ind w:firstLine="2711" w:firstLineChars="900"/>
        <w:rPr>
          <w:b w:val="1"/>
          <w:sz w:val="30"/>
          <w:lang w:bidi="en-US"/>
          <w:kern w:val="0"/>
          <w:szCs w:val="30"/>
          <w:rFonts w:hint="eastAsia"/>
        </w:rPr>
      </w:pPr>
    </w:p>
    <w:p>
      <w:pPr>
        <w:ind w:firstLine="2711" w:firstLineChars="900"/>
        <w:rPr>
          <w:b w:val="1"/>
          <w:sz w:val="30"/>
          <w:szCs w:val="30"/>
        </w:rPr>
      </w:pPr>
      <w:r>
        <w:rPr>
          <w:b w:val="1"/>
          <w:sz w:val="30"/>
          <w:lang w:bidi="en-US"/>
          <w:kern w:val="0"/>
          <w:szCs w:val="30"/>
          <w:rFonts w:hint="eastAsia"/>
        </w:rPr>
        <w:t>东方电子股份有限公司</w:t>
      </w:r>
    </w:p>
    <w:p>
      <w:pPr>
        <w:jc w:val="center"/>
        <w:tabs>
          <w:tab w:val="left" w:pos="2410"/>
        </w:tabs>
        <w:rPr>
          <w:sz w:val="28"/>
          <w:lang w:bidi="en-US"/>
          <w:kern w:val="0"/>
          <w:szCs w:val="28"/>
          <w:rFonts w:ascii="黑体" w:hAnsi="黑体" w:eastAsia="黑体"/>
        </w:rPr>
      </w:pPr>
      <w:r>
        <w:rPr>
          <w:sz w:val="28"/>
          <w:lang w:val="en-US" w:eastAsia="zh-CN" w:bidi="en-US"/>
          <w:kern w:val="0"/>
          <w:szCs w:val="28"/>
          <w:rFonts w:ascii="黑体" w:hAnsi="黑体" w:eastAsia="黑体" w:hint="eastAsia"/>
        </w:rPr>
        <w:t>2022年5</w:t>
      </w:r>
      <w:r>
        <w:rPr>
          <w:sz w:val="28"/>
          <w:lang w:bidi="en-US"/>
          <w:kern w:val="0"/>
          <w:szCs w:val="28"/>
          <w:rFonts w:ascii="黑体" w:hAnsi="黑体" w:eastAsia="黑体" w:hint="eastAsia"/>
        </w:rPr>
        <w:t>月</w:t>
      </w:r>
    </w:p>
    <w:p>
      <w:pPr>
        <w:jc w:val="center"/>
        <w:tabs>
          <w:tab w:val="left" w:pos="180"/>
        </w:tabs>
        <w:spacing w:line="720" w:lineRule="auto"/>
        <w:rPr>
          <w:b w:val="1"/>
          <w:sz w:val="60"/>
          <w:szCs w:val="60"/>
          <w:rFonts w:ascii="楷体" w:hAnsi="楷体" w:eastAsia="楷体"/>
        </w:rPr>
      </w:pPr>
    </w:p>
    <w:p>
      <w:pPr>
        <w:jc w:val="center"/>
        <w:tabs>
          <w:tab w:val="left" w:pos="180"/>
        </w:tabs>
        <w:spacing w:line="720" w:lineRule="auto"/>
      </w:pPr>
    </w:p>
    <w:p>
      <w:pPr>
        <w:bidi w:val="0"/>
        <w:rPr>
          <w:sz w:val="21"/>
          <w:lang w:val="en-US" w:eastAsia="zh-CN" w:bidi="ar-SA"/>
          <w:kern w:val="2"/>
          <w:szCs w:val="24"/>
          <w:rFonts w:ascii="Times New Roman" w:hAnsi="Times New Roman" w:eastAsia="宋体" w:cs="Times New Roma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pStyle w:val="2"/>
        <w:rPr>
          <w:lang w:val="en-US" w:eastAsia="zh-CN"/>
        </w:rPr>
      </w:pPr>
    </w:p>
    <w:p>
      <w:pPr>
        <w:pStyle w:val="2"/>
        <w:rPr>
          <w:lang w:val="en-US" w:eastAsia="zh-CN"/>
        </w:rPr>
      </w:pPr>
    </w:p>
    <w:p>
      <w:pPr>
        <w:jc w:val="left"/>
        <w:widowControl/>
        <w:contextualSpacing/>
        <w:pBdr>
          <w:bottom w:val="single" w:color="4F81BD" w:sz="8" w:space="4"/>
        </w:pBdr>
        <w:spacing w:after="300" w:lineRule="auto"/>
        <w:ind w:firstLine="0" w:firstLineChars="0" w:left="0" w:leftChars="0"/>
        <w:rPr>
          <w:spacing w:val="5"/>
          <w:sz w:val="32"/>
          <w:lang w:bidi="en-US"/>
          <w:kern w:val="28"/>
          <w:szCs w:val="32"/>
          <w:rFonts w:ascii="Cambria" w:hAnsi="Cambria" w:hint="eastAsia"/>
        </w:rPr>
      </w:pPr>
    </w:p>
    <w:p>
      <w:pPr>
        <w:jc w:val="left"/>
        <w:widowControl/>
        <w:contextualSpacing/>
        <w:pBdr>
          <w:bottom w:val="single" w:color="4F81BD" w:sz="8" w:space="4"/>
        </w:pBdr>
        <w:spacing w:after="300" w:lineRule="auto"/>
        <w:ind w:firstLine="0" w:firstLineChars="0" w:left="0" w:leftChars="0"/>
        <w:rPr>
          <w:spacing w:val="5"/>
          <w:sz w:val="32"/>
          <w:lang w:bidi="en-US"/>
          <w:kern w:val="28"/>
          <w:szCs w:val="32"/>
          <w:rFonts w:ascii="Cambria" w:hAnsi="Cambria"/>
        </w:rPr>
      </w:pPr>
      <w:r>
        <w:rPr>
          <w:spacing w:val="5"/>
          <w:sz w:val="32"/>
          <w:lang w:bidi="en-US"/>
          <w:kern w:val="28"/>
          <w:szCs w:val="32"/>
          <w:rFonts w:ascii="Cambria" w:hAnsi="Cambria" w:hint="eastAsia"/>
        </w:rPr>
        <w:t>版权声明</w:t>
      </w:r>
    </w:p>
    <w:p>
      <w:r>
        <w:rPr>
          <w:lang w:bidi="en-US"/>
          <w:kern w:val="0"/>
        </w:rPr>
        <w:t>Copyright © 20</w:t>
      </w:r>
      <w:r>
        <w:rPr>
          <w:lang w:bidi="en-US"/>
          <w:kern w:val="0"/>
          <w:rFonts w:hint="eastAsia"/>
        </w:rPr>
        <w:t>1</w:t>
      </w:r>
      <w:r>
        <w:rPr>
          <w:lang w:val="en-US" w:eastAsia="zh-CN" w:bidi="en-US"/>
          <w:kern w:val="0"/>
          <w:rFonts w:hint="eastAsia"/>
        </w:rPr>
        <w:t>9</w:t>
      </w:r>
      <w:r>
        <w:rPr>
          <w:lang w:bidi="en-US"/>
          <w:kern w:val="0"/>
        </w:rPr>
        <w:t> </w:t>
      </w:r>
      <w:r>
        <w:rPr>
          <w:lang w:bidi="en-US"/>
          <w:kern w:val="0"/>
          <w:rFonts w:hint="eastAsia"/>
        </w:rPr>
        <w:t>东方电子股份有限公司</w:t>
      </w:r>
    </w:p>
    <w:p>
      <w:pPr>
        <w:jc w:val="left"/>
        <w:widowControl/>
        <w:spacing w:line="360" w:lineRule="auto"/>
        <w:ind w:firstLine="440" w:firstLineChars="200"/>
        <w:rPr>
          <w:sz w:val="22"/>
          <w:lang w:bidi="en-US"/>
          <w:kern w:val="0"/>
          <w:szCs w:val="22"/>
          <w:rFonts w:ascii="宋体" w:hAnsi="宋体" w:cs="Arial"/>
        </w:rPr>
      </w:pPr>
      <w:r>
        <w:rPr>
          <w:sz w:val="22"/>
          <w:lang w:bidi="en-US"/>
          <w:kern w:val="0"/>
          <w:szCs w:val="22"/>
          <w:rFonts w:ascii="宋体" w:hAnsi="宋体" w:cs="Arial"/>
        </w:rPr>
        <w:t>我们对本</w:t>
      </w:r>
      <w:r>
        <w:rPr>
          <w:sz w:val="22"/>
          <w:lang w:bidi="en-US"/>
          <w:kern w:val="0"/>
          <w:szCs w:val="22"/>
          <w:rFonts w:ascii="宋体" w:hAnsi="宋体" w:cs="Arial" w:hint="eastAsia"/>
        </w:rPr>
        <w:t>说明书</w:t>
      </w:r>
      <w:r>
        <w:rPr>
          <w:sz w:val="22"/>
          <w:lang w:bidi="en-US"/>
          <w:kern w:val="0"/>
          <w:szCs w:val="22"/>
          <w:rFonts w:ascii="宋体" w:hAnsi="宋体" w:cs="Arial"/>
        </w:rPr>
        <w:t>及其中的内容具有全部的知识产权。除非特别授权，禁止复制或向第三方分发。凡侵犯本公司版权等知识产权的，本公司必依法追究其法律责任。</w:t>
      </w:r>
    </w:p>
    <w:p>
      <w:pPr>
        <w:jc w:val="left"/>
        <w:widowControl/>
        <w:spacing w:line="360" w:lineRule="auto"/>
        <w:ind w:firstLine="440" w:firstLineChars="200"/>
        <w:rPr>
          <w:sz w:val="22"/>
          <w:lang w:bidi="en-US"/>
          <w:kern w:val="0"/>
          <w:szCs w:val="22"/>
          <w:rFonts w:ascii="宋体" w:hAnsi="宋体" w:cs="Arial"/>
        </w:rPr>
      </w:pPr>
      <w:r>
        <w:rPr>
          <w:sz w:val="22"/>
          <w:lang w:bidi="en-US"/>
          <w:kern w:val="0"/>
          <w:szCs w:val="22"/>
          <w:rFonts w:ascii="宋体" w:hAnsi="宋体" w:cs="Arial"/>
        </w:rPr>
        <w:t>我们定期检查本</w:t>
      </w:r>
      <w:r>
        <w:rPr>
          <w:sz w:val="22"/>
          <w:lang w:bidi="en-US"/>
          <w:kern w:val="0"/>
          <w:szCs w:val="22"/>
          <w:rFonts w:ascii="宋体" w:hAnsi="宋体" w:cs="Arial" w:hint="eastAsia"/>
        </w:rPr>
        <w:t>说明书</w:t>
      </w:r>
      <w:r>
        <w:rPr>
          <w:sz w:val="22"/>
          <w:lang w:bidi="en-US"/>
          <w:kern w:val="0"/>
          <w:szCs w:val="22"/>
          <w:rFonts w:ascii="宋体" w:hAnsi="宋体" w:cs="Arial"/>
        </w:rPr>
        <w:t>中的内容，在后续版本中会有必要的修正。但不可避免会有一些错误之处，欢迎提出改进的意见。</w:t>
      </w:r>
    </w:p>
    <w:p>
      <w:pPr>
        <w:jc w:val="left"/>
        <w:widowControl/>
        <w:spacing w:line="360" w:lineRule="auto"/>
        <w:ind w:firstLine="440" w:firstLineChars="200"/>
        <w:rPr>
          <w:sz w:val="22"/>
          <w:lang w:bidi="en-US"/>
          <w:kern w:val="0"/>
          <w:szCs w:val="22"/>
          <w:rFonts w:ascii="宋体" w:hAnsi="宋体" w:cs="Arial"/>
        </w:rPr>
      </w:pPr>
      <w:r>
        <w:rPr>
          <w:sz w:val="22"/>
          <w:lang w:bidi="en-US"/>
          <w:kern w:val="0"/>
          <w:szCs w:val="22"/>
          <w:rFonts w:ascii="宋体" w:hAnsi="宋体" w:cs="Arial"/>
        </w:rPr>
        <w:t>我们保留在不事先通知的情况下进行技术改进的权利。</w:t>
      </w:r>
    </w:p>
    <w:p>
      <w:pPr>
        <w:spacing w:after="163" w:before="163" w:lineRule="auto"/>
        <w:ind w:firstLine="440"/>
        <w:rPr>
          <w:sz w:val="22"/>
          <w:lang w:bidi="en-US"/>
          <w:kern w:val="0"/>
          <w:szCs w:val="22"/>
        </w:rPr>
      </w:pPr>
    </w:p>
    <w:p>
      <w:pPr>
        <w:spacing w:after="163" w:before="163" w:lineRule="auto"/>
        <w:ind w:firstLine="440"/>
        <w:rPr>
          <w:sz w:val="22"/>
          <w:lang w:bidi="en-US"/>
          <w:kern w:val="0"/>
          <w:szCs w:val="22"/>
        </w:rPr>
      </w:pPr>
    </w:p>
    <w:p>
      <w:pPr>
        <w:spacing w:after="163" w:before="163" w:lineRule="auto"/>
        <w:ind w:firstLine="440"/>
        <w:rPr>
          <w:sz w:val="22"/>
          <w:lang w:bidi="en-US"/>
          <w:kern w:val="0"/>
          <w:szCs w:val="22"/>
        </w:rPr>
      </w:pPr>
    </w:p>
    <w:p>
      <w:pPr>
        <w:spacing w:after="163" w:before="163" w:lineRule="auto"/>
        <w:ind w:firstLine="480"/>
        <w:rPr>
          <w:lang w:bidi="en-US"/>
          <w:kern w:val="0"/>
          <w:szCs w:val="22"/>
        </w:rPr>
      </w:pPr>
    </w:p>
    <w:p>
      <w:pPr>
        <w:spacing w:after="163" w:before="163" w:lineRule="auto"/>
        <w:ind w:firstLine="480"/>
        <w:rPr>
          <w:lang w:bidi="en-US"/>
          <w:kern w:val="0"/>
          <w:szCs w:val="22"/>
        </w:rPr>
      </w:pPr>
    </w:p>
    <w:p>
      <w:pPr>
        <w:spacing w:after="163" w:before="163" w:lineRule="auto"/>
        <w:ind w:firstLine="480"/>
        <w:rPr>
          <w:lang w:bidi="en-US"/>
          <w:kern w:val="0"/>
          <w:szCs w:val="22"/>
        </w:rPr>
      </w:pPr>
    </w:p>
    <w:p>
      <w:pPr>
        <w:spacing w:after="163" w:before="163" w:lineRule="auto"/>
        <w:ind w:firstLine="480"/>
        <w:rPr>
          <w:lang w:bidi="en-US"/>
          <w:kern w:val="0"/>
          <w:szCs w:val="22"/>
        </w:rPr>
      </w:pPr>
    </w:p>
    <w:p>
      <w:pPr>
        <w:spacing w:after="163" w:before="163" w:lineRule="auto"/>
        <w:ind w:firstLine="480"/>
        <w:rPr>
          <w:lang w:bidi="en-US"/>
          <w:kern w:val="0"/>
          <w:szCs w:val="22"/>
        </w:rPr>
      </w:pPr>
    </w:p>
    <w:p>
      <w:pPr>
        <w:spacing w:after="163" w:before="163" w:lineRule="auto"/>
        <w:ind w:firstLine="480"/>
        <w:rPr>
          <w:lang w:bidi="en-US"/>
          <w:kern w:val="0"/>
          <w:szCs w:val="22"/>
        </w:rPr>
      </w:pPr>
    </w:p>
    <w:p>
      <w:pPr>
        <w:jc w:val="left"/>
        <w:widowControl/>
        <w:contextualSpacing/>
        <w:pBdr>
          <w:bottom w:val="single" w:color="4F81BD" w:sz="8" w:space="4"/>
        </w:pBdr>
        <w:spacing w:after="300" w:lineRule="auto"/>
        <w:ind w:firstLine="0" w:firstLineChars="0" w:left="0" w:leftChars="0"/>
        <w:rPr>
          <w:spacing w:val="5"/>
          <w:sz w:val="32"/>
          <w:lang w:bidi="en-US"/>
          <w:kern w:val="28"/>
          <w:szCs w:val="32"/>
          <w:rFonts w:ascii="Cambria" w:hAnsi="Cambria" w:hint="eastAsia"/>
        </w:rPr>
      </w:pPr>
      <w:r>
        <w:rPr>
          <w:spacing w:val="5"/>
          <w:sz w:val="32"/>
          <w:lang w:bidi="en-US"/>
          <w:kern w:val="28"/>
          <w:szCs w:val="32"/>
          <w:rFonts w:ascii="Cambria" w:hAnsi="Cambria" w:hint="eastAsia"/>
        </w:rPr>
        <w:t>服务联系方式</w:t>
      </w:r>
    </w:p>
    <w:p>
      <w:pPr>
        <w:spacing w:after="163" w:before="163" w:lineRule="auto"/>
        <w:ind w:firstLine="440"/>
        <w:rPr>
          <w:sz w:val="22"/>
          <w:lang w:bidi="en-US"/>
          <w:kern w:val="0"/>
          <w:szCs w:val="22"/>
        </w:rPr>
      </w:pPr>
      <w:r>
        <w:rPr>
          <w:sz w:val="22"/>
          <w:lang w:bidi="en-US"/>
          <w:kern w:val="0"/>
          <w:szCs w:val="22"/>
        </w:rPr>
        <w:t>技术支持</w:t>
      </w:r>
    </w:p>
    <w:p>
      <w:pPr>
        <w:spacing w:after="163" w:before="163" w:lineRule="auto"/>
        <w:ind w:firstLine="440"/>
        <w:rPr>
          <w:sz w:val="22"/>
          <w:lang w:bidi="en-US"/>
          <w:kern w:val="0"/>
          <w:szCs w:val="22"/>
        </w:rPr>
      </w:pPr>
      <w:r>
        <w:rPr>
          <w:sz w:val="22"/>
          <w:lang w:bidi="en-US"/>
          <w:kern w:val="0"/>
          <w:szCs w:val="22"/>
        </w:rPr>
        <w:t>业务联系</w:t>
      </w:r>
    </w:p>
    <w:p>
      <w:pPr>
        <w:spacing w:after="163" w:before="163" w:lineRule="auto"/>
        <w:ind w:firstLine="440"/>
        <w:rPr>
          <w:sz w:val="22"/>
          <w:lang w:bidi="en-US"/>
          <w:kern w:val="0"/>
          <w:szCs w:val="22"/>
          <w:rFonts w:hint="eastAsia"/>
        </w:rPr>
      </w:pPr>
      <w:r>
        <w:rPr>
          <w:sz w:val="22"/>
          <w:lang w:bidi="en-US"/>
          <w:kern w:val="0"/>
          <w:szCs w:val="22"/>
        </w:rPr>
        <w:t>电话:</w:t>
      </w:r>
      <w:r>
        <w:rPr>
          <w:sz w:val="22"/>
          <w:lang w:bidi="en-US"/>
          <w:kern w:val="0"/>
          <w:szCs w:val="22"/>
          <w:rFonts w:hint="eastAsia"/>
        </w:rPr>
        <w:t>0535-5520</w:t>
      </w:r>
      <w:r>
        <w:rPr>
          <w:sz w:val="22"/>
          <w:lang w:val="en-US" w:eastAsia="zh-CN" w:bidi="en-US"/>
          <w:kern w:val="0"/>
          <w:szCs w:val="22"/>
          <w:rFonts w:hint="eastAsia"/>
        </w:rPr>
        <w:t>728</w:t>
      </w:r>
      <w:r>
        <w:rPr>
          <w:sz w:val="22"/>
          <w:lang w:bidi="en-US"/>
          <w:kern w:val="0"/>
          <w:szCs w:val="22"/>
        </w:rPr>
        <w:t xml:space="preserve"> </w:t>
      </w:r>
    </w:p>
    <w:p>
      <w:pPr>
        <w:spacing w:after="163" w:before="163" w:lineRule="auto"/>
        <w:ind w:firstLine="440"/>
        <w:rPr>
          <w:sz w:val="22"/>
          <w:lang w:bidi="en-US"/>
          <w:kern w:val="0"/>
          <w:szCs w:val="22"/>
        </w:rPr>
      </w:pPr>
      <w:r>
        <w:rPr>
          <w:sz w:val="22"/>
          <w:lang w:bidi="en-US"/>
          <w:kern w:val="0"/>
          <w:szCs w:val="22"/>
          <w:rFonts w:hAnsi="Arial"/>
        </w:rPr>
        <w:t>网址</w:t>
      </w:r>
      <w:r>
        <w:rPr>
          <w:sz w:val="22"/>
          <w:lang w:bidi="en-US"/>
          <w:kern w:val="0"/>
          <w:szCs w:val="22"/>
        </w:rPr>
        <w:t>: http://www.</w:t>
      </w:r>
      <w:r>
        <w:rPr>
          <w:sz w:val="22"/>
          <w:lang w:bidi="en-US"/>
          <w:kern w:val="0"/>
          <w:szCs w:val="22"/>
          <w:rFonts w:hint="eastAsia"/>
        </w:rPr>
        <w:t>do</w:t>
      </w:r>
      <w:r>
        <w:rPr>
          <w:sz w:val="22"/>
          <w:lang w:bidi="en-US"/>
          <w:kern w:val="0"/>
          <w:szCs w:val="22"/>
        </w:rPr>
        <w:t>ngfang-china.com</w:t>
      </w:r>
    </w:p>
    <w:p>
      <w:pPr>
        <w:pStyle w:val="14"/>
        <w:adjustRightInd w:val="1"/>
        <w:jc w:val="left"/>
        <w:widowControl/>
        <w:outlineLvl w:val="9"/>
        <w:pBdr>
          <w:bottom w:val="single" w:color="4F81BD" w:sz="8" w:space="4"/>
        </w:pBdr>
        <w:spacing w:after="1630" w:afterLines="500" w:before="0" w:beforeLines="0" w:line="240" w:lineRule="auto"/>
        <w:ind w:firstLine="0" w:firstLineChars="0"/>
        <w:rPr>
          <w:b w:val="0"/>
          <w:spacing w:val="5"/>
          <w:sz w:val="21"/>
          <w:lang w:bidi="en-US"/>
          <w:bCs w:val="0"/>
          <w:kern w:val="28"/>
          <w:szCs w:val="21"/>
          <w:rFonts w:ascii="Times New Roman" w:hAnsi="Times New Roman" w:cs="Times New Roman"/>
        </w:rPr>
      </w:pPr>
    </w:p>
    <w:p>
      <w:pPr>
        <w:spacing w:after="163" w:before="163" w:lineRule="auto"/>
        <w:ind w:firstLine="0" w:firstLineChars="0"/>
        <w:rPr>
          <w:b w:val="1"/>
        </w:rPr>
        <w:sectPr>
          <w:headerReference r:id="rId5" w:type="first"/>
          <w:headerReference r:id="rId7" w:type="default"/>
          <w:headerReference r:id="rId9" w:type="even"/>
          <w:footerReference r:id="rId6" w:type="first"/>
          <w:footerReference r:id="rId8" w:type="default"/>
          <w:footerReference r:id="rId10" w:type="even"/>
          <w:docGrid w:type="lines" w:linePitch="326" w:charSpace="0"/>
          <w:pgSz w:w="11906" w:h="16838"/>
          <w:pgMar w:top="1440" w:right="1800" w:bottom="1440" w:left="1800" w:header="851" w:footer="992" w:gutter="0"/>
          <w:pgNumType w:fmt="upperRoman" w:start="1"/>
          <w:cols w:space="720" w:num="1"/>
        </w:sectPr>
      </w:pPr>
    </w:p>
    <w:p>
      <w:pPr>
        <w:pStyle w:val="2"/>
        <w:rPr>
          <w:lang w:val="en-US" w:eastAsia="zh-CN"/>
        </w:rPr>
      </w:pPr>
    </w:p>
    <w:p>
      <w:pPr>
        <w:bidi w:val="0"/>
        <w:jc w:val="left"/>
        <w:tabs>
          <w:tab w:val="left" w:pos="4706"/>
        </w:tabs>
        <w:rPr>
          <w:lang w:val="en-US" w:eastAsia="zh-CN"/>
          <w:rFonts w:hint="eastAsia"/>
        </w:rPr>
      </w:pPr>
      <w:r>
        <w:tab/>
        <w:rPr>
          <w:lang w:val="en-US" w:eastAsia="zh-CN"/>
          <w:rFonts w:hint="eastAsia"/>
        </w:rPr>
      </w:r>
    </w:p>
    <w:p>
      <w:pPr>
        <w:pStyle w:val="9"/>
        <w:jc w:val="center"/>
        <w:rPr>
          <w:b w:val="1"/>
          <w:sz w:val="52"/>
          <w:lang w:val="en-US" w:eastAsia="zh-CN"/>
          <w:szCs w:val="52"/>
          <w:rFonts w:ascii="楷体" w:hAnsi="楷体" w:eastAsia="楷体" w:hint="eastAsia"/>
        </w:rPr>
      </w:pPr>
      <w:r>
        <w:rPr>
          <w:b w:val="1"/>
          <w:sz w:val="52"/>
          <w:lang w:val="en-US" w:eastAsia="zh-CN"/>
          <w:szCs w:val="52"/>
          <w:rFonts w:ascii="楷体" w:hAnsi="楷体" w:eastAsia="楷体" w:hint="eastAsia"/>
        </w:rPr>
        <w:t>2022年5月</w:t>
      </w:r>
    </w:p>
    <w:p>
      <w:pPr>
        <w:pStyle w:val="9"/>
        <w:jc w:val="both"/>
        <w:rPr>
          <w:b w:val="1"/>
          <w:sz w:val="52"/>
          <w:lang w:val="en-US" w:eastAsia="zh-CN"/>
          <w:szCs w:val="52"/>
          <w:rFonts w:ascii="楷体" w:hAnsi="楷体" w:eastAsia="楷体" w:hint="eastAsia"/>
        </w:rPr>
      </w:pPr>
    </w:p>
    <w:sdt>
      <w:sdtPr>
        <w:rPr>
          <w:sz w:val="21"/>
          <w:lang w:val="en-US" w:eastAsia="zh-CN" w:bidi="ar-SA"/>
          <w:kern w:val="2"/>
          <w:szCs w:val="24"/>
          <w:rFonts w:ascii="宋体" w:hAnsi="宋体" w:eastAsia="宋体" w:cs="Times New Roman"/>
        </w:rPr>
        <w:id w:val="147471228"/>
        <w:docPartObj>
          <w:docPartGallery w:val="Table of Contents"/>
        </w:docPartObj>
      </w:sdtPr>
      <w:sdtEndPr>
        <w:rPr>
          <w:sz w:val="24"/>
          <w:lang w:val="en-US" w:eastAsia="zh-CN" w:bidi="ar-SA"/>
          <w:kern w:val="2"/>
          <w:szCs w:val="52"/>
          <w:rFonts w:ascii="楷体" w:hAnsi="楷体" w:eastAsia="楷体" w:cs="Times New Roman" w:hint="eastAsia"/>
        </w:rPr>
        <w:rPr>
          <w:sz w:val="24"/>
          <w:lang w:val="en-US" w:eastAsia="zh-CN" w:bidi="ar-SA"/>
          <w:kern w:val="2"/>
          <w:szCs w:val="52"/>
          <w:rFonts w:ascii="楷体" w:hAnsi="楷体" w:eastAsia="楷体" w:cs="Times New Roman" w:hint="eastAsia"/>
        </w:rPr>
      </w:sdtEndPr>
      <w:sdtContent>
        <w:p>
          <w:pPr>
            <w:jc w:val="center"/>
            <w:spacing w:after="0" w:afterLines="0" w:before="0" w:beforeLines="0" w:line="240" w:lineRule="auto"/>
            <w:ind w:firstLine="0" w:firstLineChars="0" w:left="0" w:leftChars="0" w:right="0" w:rightChars="0"/>
          </w:pPr>
          <w:r>
            <w:rPr>
              <w:sz w:val="21"/>
              <w:rFonts w:ascii="宋体" w:hAnsi="宋体" w:eastAsia="宋体"/>
            </w:rPr>
            <w:t>目录</w:t>
          </w:r>
        </w:p>
        <w:p>
          <w:pPr>
            <w:pStyle w:val="12"/>
            <w:tabs>
              <w:tab w:val="right" w:leader="dot" w:pos="8306"/>
            </w:tabs>
          </w:pPr>
          <w:r>
            <w:rPr>
              <w:b w:val="1"/>
              <w:sz w:val="52"/>
              <w:lang w:val="en-US" w:eastAsia="zh-CN"/>
              <w:szCs w:val="52"/>
              <w:rFonts w:ascii="楷体" w:hAnsi="楷体" w:eastAsia="楷体" w:hint="eastAsia"/>
            </w:rPr>
            <w:fldChar w:fldCharType="begin"/>
          </w:r>
          <w:r>
            <w:rPr>
              <w:b w:val="1"/>
              <w:sz w:val="52"/>
              <w:lang w:val="en-US" w:eastAsia="zh-CN"/>
              <w:szCs w:val="52"/>
              <w:rFonts w:ascii="楷体" w:hAnsi="楷体" w:eastAsia="楷体" w:hint="eastAsia"/>
            </w:rPr>
            <w:instrText xml:space="preserve">TOC \o "1-3" \h \u </w:instrText>
          </w:r>
          <w:r>
            <w:rPr>
              <w:b w:val="1"/>
              <w:sz w:val="52"/>
              <w:lang w:val="en-US" w:eastAsia="zh-CN"/>
              <w:szCs w:val="52"/>
              <w:rFonts w:ascii="楷体" w:hAnsi="楷体" w:eastAsia="楷体" w:hint="eastAsia"/>
            </w:rPr>
            <w:fldChar w:fldCharType="separate"/>
          </w:r>
          <w:r>
            <w:rPr>
              <w:lang w:val="en-US" w:eastAsia="zh-CN"/>
              <w:szCs w:val="52"/>
              <w:rFonts w:ascii="楷体" w:hAnsi="楷体" w:eastAsia="楷体" w:hint="eastAsia"/>
            </w:rPr>
            <w:fldChar w:fldCharType="begin"/>
          </w:r>
          <w:r>
            <w:rPr>
              <w:lang w:val="en-US" w:eastAsia="zh-CN"/>
              <w:szCs w:val="52"/>
              <w:rFonts w:ascii="楷体" w:hAnsi="楷体" w:eastAsia="楷体" w:hint="eastAsia"/>
            </w:rPr>
            <w:instrText xml:space="preserve"> HYPERLINK \l _Toc9269 </w:instrText>
          </w:r>
          <w:r>
            <w:rPr>
              <w:lang w:val="en-US" w:eastAsia="zh-CN"/>
              <w:szCs w:val="52"/>
              <w:rFonts w:ascii="楷体" w:hAnsi="楷体" w:eastAsia="楷体" w:hint="eastAsia"/>
            </w:rPr>
            <w:fldChar w:fldCharType="separate"/>
          </w:r>
          <w:r>
            <w:tab/>
          </w:r>
          <w:r>
            <w:fldChar w:fldCharType="begin"/>
          </w:r>
          <w:r>
            <w:instrText xml:space="preserve"> PAGEREF _Toc9269 \h </w:instrText>
          </w:r>
          <w:r>
            <w:fldChar w:fldCharType="separate"/>
          </w:r>
          <w:r>
            <w:t>I</w:t>
          </w:r>
          <w:r>
            <w:fldChar w:fldCharType="end"/>
          </w:r>
          <w:r>
            <w:rPr>
              <w:lang w:val="en-US" w:eastAsia="zh-CN"/>
              <w:szCs w:val="52"/>
              <w:rFonts w:ascii="楷体" w:hAnsi="楷体" w:eastAsia="楷体" w:hint="eastAsia"/>
            </w:rPr>
            <w:fldChar w:fldCharType="end"/>
          </w:r>
        </w:p>
        <w:p>
          <w:pPr>
            <w:pStyle w:val="12"/>
            <w:tabs>
              <w:tab w:val="right" w:leader="dot" w:pos="8306"/>
            </w:tabs>
          </w:pPr>
          <w:r>
            <w:rPr>
              <w:lang w:val="en-US" w:eastAsia="zh-CN"/>
              <w:szCs w:val="52"/>
              <w:rFonts w:ascii="楷体" w:hAnsi="楷体" w:eastAsia="楷体" w:hint="eastAsia"/>
            </w:rPr>
            <w:fldChar w:fldCharType="begin"/>
          </w:r>
          <w:r>
            <w:rPr>
              <w:lang w:val="en-US" w:eastAsia="zh-CN"/>
              <w:szCs w:val="52"/>
              <w:rFonts w:ascii="楷体" w:hAnsi="楷体" w:eastAsia="楷体" w:hint="eastAsia"/>
            </w:rPr>
            <w:instrText xml:space="preserve"> HYPERLINK \l _Toc21732 </w:instrText>
          </w:r>
          <w:r>
            <w:rPr>
              <w:lang w:val="en-US" w:eastAsia="zh-CN"/>
              <w:szCs w:val="52"/>
              <w:rFonts w:ascii="楷体" w:hAnsi="楷体" w:eastAsia="楷体" w:hint="eastAsia"/>
            </w:rPr>
            <w:fldChar w:fldCharType="separate"/>
          </w:r>
          <w:r>
            <w:rPr>
              <w:bCs/>
              <w:szCs w:val="60"/>
              <w:rFonts w:ascii="楷体" w:hAnsi="楷体" w:eastAsia="楷体" w:cs="宋体" w:hint="eastAsia"/>
            </w:rPr>
            <w:t>变压器油色谱在线监测系统</w:t>
          </w:r>
          <w:r>
            <w:tab/>
          </w:r>
          <w:r>
            <w:fldChar w:fldCharType="begin"/>
          </w:r>
          <w:r>
            <w:instrText xml:space="preserve"> PAGEREF _Toc21732 \h </w:instrText>
          </w:r>
          <w:r>
            <w:fldChar w:fldCharType="separate"/>
          </w:r>
          <w:r>
            <w:t>I</w:t>
          </w:r>
          <w:r>
            <w:fldChar w:fldCharType="end"/>
          </w:r>
          <w:r>
            <w:rPr>
              <w:lang w:val="en-US" w:eastAsia="zh-CN"/>
              <w:szCs w:val="52"/>
              <w:rFonts w:ascii="楷体" w:hAnsi="楷体" w:eastAsia="楷体" w:hint="eastAsia"/>
            </w:rPr>
            <w:fldChar w:fldCharType="end"/>
          </w:r>
        </w:p>
        <w:p>
          <w:pPr>
            <w:pStyle w:val="12"/>
            <w:tabs>
              <w:tab w:val="right" w:leader="dot" w:pos="8306"/>
            </w:tabs>
          </w:pPr>
          <w:r>
            <w:rPr>
              <w:lang w:val="en-US" w:eastAsia="zh-CN"/>
              <w:szCs w:val="52"/>
              <w:rFonts w:ascii="楷体" w:hAnsi="楷体" w:eastAsia="楷体" w:hint="eastAsia"/>
            </w:rPr>
            <w:fldChar w:fldCharType="begin"/>
          </w:r>
          <w:r>
            <w:rPr>
              <w:lang w:val="en-US" w:eastAsia="zh-CN"/>
              <w:szCs w:val="52"/>
              <w:rFonts w:ascii="楷体" w:hAnsi="楷体" w:eastAsia="楷体" w:hint="eastAsia"/>
            </w:rPr>
            <w:instrText xml:space="preserve"> HYPERLINK \l _Toc14798 </w:instrText>
          </w:r>
          <w:r>
            <w:rPr>
              <w:lang w:val="en-US" w:eastAsia="zh-CN"/>
              <w:szCs w:val="52"/>
              <w:rFonts w:ascii="楷体" w:hAnsi="楷体" w:eastAsia="楷体" w:hint="eastAsia"/>
            </w:rPr>
            <w:fldChar w:fldCharType="separate"/>
          </w:r>
          <w:r>
            <w:rPr>
              <w:szCs w:val="60"/>
              <w:rFonts w:ascii="楷体" w:hAnsi="楷体" w:eastAsia="楷体" w:hint="eastAsia"/>
            </w:rPr>
            <w:t>使用</w:t>
          </w:r>
          <w:r>
            <w:rPr>
              <w:szCs w:val="60"/>
              <w:rFonts w:ascii="楷体" w:hAnsi="楷体" w:eastAsia="楷体"/>
            </w:rPr>
            <w:t>说明书</w:t>
          </w:r>
          <w:r>
            <w:tab/>
          </w:r>
          <w:r>
            <w:fldChar w:fldCharType="begin"/>
          </w:r>
          <w:r>
            <w:instrText xml:space="preserve"> PAGEREF _Toc14798 \h </w:instrText>
          </w:r>
          <w:r>
            <w:fldChar w:fldCharType="separate"/>
          </w:r>
          <w:r>
            <w:t>I</w:t>
          </w:r>
          <w:r>
            <w:fldChar w:fldCharType="end"/>
          </w:r>
          <w:r>
            <w:rPr>
              <w:lang w:val="en-US" w:eastAsia="zh-CN"/>
              <w:szCs w:val="52"/>
              <w:rFonts w:ascii="楷体" w:hAnsi="楷体" w:eastAsia="楷体" w:hint="eastAsia"/>
            </w:rPr>
            <w:fldChar w:fldCharType="end"/>
          </w:r>
        </w:p>
        <w:p>
          <w:pPr>
            <w:pStyle w:val="12"/>
            <w:tabs>
              <w:tab w:val="right" w:leader="dot" w:pos="8306"/>
            </w:tabs>
          </w:pPr>
          <w:r>
            <w:rPr>
              <w:lang w:val="en-US" w:eastAsia="zh-CN"/>
              <w:szCs w:val="52"/>
              <w:rFonts w:ascii="楷体" w:hAnsi="楷体" w:eastAsia="楷体" w:hint="eastAsia"/>
            </w:rPr>
            <w:fldChar w:fldCharType="begin"/>
          </w:r>
          <w:r>
            <w:rPr>
              <w:lang w:val="en-US" w:eastAsia="zh-CN"/>
              <w:szCs w:val="52"/>
              <w:rFonts w:ascii="楷体" w:hAnsi="楷体" w:eastAsia="楷体" w:hint="eastAsia"/>
            </w:rPr>
            <w:instrText xml:space="preserve"> HYPERLINK \l _Toc6235 </w:instrText>
          </w:r>
          <w:r>
            <w:rPr>
              <w:lang w:val="en-US" w:eastAsia="zh-CN"/>
              <w:szCs w:val="52"/>
              <w:rFonts w:ascii="楷体" w:hAnsi="楷体" w:eastAsia="楷体" w:hint="eastAsia"/>
            </w:rPr>
            <w:fldChar w:fldCharType="separate"/>
          </w:r>
          <w:r>
            <w:rPr>
              <w:rFonts w:hint="eastAsia"/>
            </w:rPr>
            <w:t>1. 概述</w:t>
          </w:r>
          <w:r>
            <w:tab/>
          </w:r>
          <w:r>
            <w:fldChar w:fldCharType="begin"/>
          </w:r>
          <w:r>
            <w:instrText xml:space="preserve"> PAGEREF _Toc6235 \h </w:instrText>
          </w:r>
          <w:r>
            <w:fldChar w:fldCharType="separate"/>
          </w:r>
          <w:r>
            <w:t>4</w:t>
          </w:r>
          <w:r>
            <w:fldChar w:fldCharType="end"/>
          </w:r>
          <w:r>
            <w:rPr>
              <w:lang w:val="en-US" w:eastAsia="zh-CN"/>
              <w:szCs w:val="52"/>
              <w:rFonts w:ascii="楷体" w:hAnsi="楷体" w:eastAsia="楷体" w:hint="eastAsia"/>
            </w:rPr>
            <w:fldChar w:fldCharType="end"/>
          </w:r>
        </w:p>
        <w:p>
          <w:pPr>
            <w:pStyle w:val="12"/>
            <w:tabs>
              <w:tab w:val="right" w:leader="dot" w:pos="8306"/>
            </w:tabs>
          </w:pPr>
          <w:r>
            <w:rPr>
              <w:lang w:val="en-US" w:eastAsia="zh-CN"/>
              <w:szCs w:val="52"/>
              <w:rFonts w:ascii="楷体" w:hAnsi="楷体" w:eastAsia="楷体" w:hint="eastAsia"/>
            </w:rPr>
            <w:fldChar w:fldCharType="begin"/>
          </w:r>
          <w:r>
            <w:rPr>
              <w:lang w:val="en-US" w:eastAsia="zh-CN"/>
              <w:szCs w:val="52"/>
              <w:rFonts w:ascii="楷体" w:hAnsi="楷体" w:eastAsia="楷体" w:hint="eastAsia"/>
            </w:rPr>
            <w:instrText xml:space="preserve"> HYPERLINK \l _Toc15938 </w:instrText>
          </w:r>
          <w:r>
            <w:rPr>
              <w:lang w:val="en-US" w:eastAsia="zh-CN"/>
              <w:szCs w:val="52"/>
              <w:rFonts w:ascii="楷体" w:hAnsi="楷体" w:eastAsia="楷体" w:hint="eastAsia"/>
            </w:rPr>
            <w:fldChar w:fldCharType="separate"/>
          </w:r>
          <w:r>
            <w:t xml:space="preserve">2. </w:t>
          </w:r>
          <w:r>
            <w:rPr>
              <w:lang w:val="en-US" w:eastAsia="zh-CN"/>
              <w:rFonts w:hint="eastAsia"/>
            </w:rPr>
            <w:t>系统组成</w:t>
          </w:r>
          <w:r>
            <w:rPr>
              <w:rFonts w:hint="eastAsia"/>
            </w:rPr>
            <w:t>及</w:t>
          </w:r>
          <w:r>
            <w:rPr>
              <w:lang w:val="en-US" w:eastAsia="zh-CN"/>
              <w:rFonts w:hint="eastAsia"/>
            </w:rPr>
            <w:t>功能</w:t>
          </w:r>
          <w:r>
            <w:rPr>
              <w:rFonts w:hint="eastAsia"/>
            </w:rPr>
            <w:t>原理</w:t>
          </w:r>
          <w:r>
            <w:tab/>
          </w:r>
          <w:r>
            <w:fldChar w:fldCharType="begin"/>
          </w:r>
          <w:r>
            <w:instrText xml:space="preserve"> PAGEREF _Toc15938 \h </w:instrText>
          </w:r>
          <w:r>
            <w:fldChar w:fldCharType="separate"/>
          </w:r>
          <w:r>
            <w:t>4</w:t>
          </w:r>
          <w:r>
            <w:fldChar w:fldCharType="end"/>
          </w:r>
          <w:r>
            <w:rPr>
              <w:lang w:val="en-US" w:eastAsia="zh-CN"/>
              <w:szCs w:val="52"/>
              <w:rFonts w:ascii="楷体" w:hAnsi="楷体" w:eastAsia="楷体" w:hint="eastAsia"/>
            </w:rPr>
            <w:fldChar w:fldCharType="end"/>
          </w:r>
        </w:p>
        <w:p>
          <w:pPr>
            <w:pStyle w:val="13"/>
            <w:tabs>
              <w:tab w:val="right" w:leader="dot" w:pos="8306"/>
            </w:tabs>
          </w:pPr>
          <w:r>
            <w:rPr>
              <w:lang w:val="en-US" w:eastAsia="zh-CN"/>
              <w:szCs w:val="52"/>
              <w:rFonts w:ascii="楷体" w:hAnsi="楷体" w:eastAsia="楷体" w:hint="eastAsia"/>
            </w:rPr>
            <w:fldChar w:fldCharType="begin"/>
          </w:r>
          <w:r>
            <w:rPr>
              <w:lang w:val="en-US" w:eastAsia="zh-CN"/>
              <w:szCs w:val="52"/>
              <w:rFonts w:ascii="楷体" w:hAnsi="楷体" w:eastAsia="楷体" w:hint="eastAsia"/>
            </w:rPr>
            <w:instrText xml:space="preserve"> HYPERLINK \l _Toc2966 </w:instrText>
          </w:r>
          <w:r>
            <w:rPr>
              <w:lang w:val="en-US" w:eastAsia="zh-CN"/>
              <w:szCs w:val="52"/>
              <w:rFonts w:ascii="楷体" w:hAnsi="楷体" w:eastAsia="楷体" w:hint="eastAsia"/>
            </w:rPr>
            <w:fldChar w:fldCharType="separate"/>
          </w:r>
          <w:r>
            <w:rPr>
              <w:lang w:val="en-US" w:eastAsia="zh-CN"/>
              <w:rFonts w:hint="eastAsia"/>
            </w:rPr>
            <w:t>2.1系统组成</w:t>
          </w:r>
          <w:r>
            <w:tab/>
          </w:r>
          <w:r>
            <w:fldChar w:fldCharType="begin"/>
          </w:r>
          <w:r>
            <w:instrText xml:space="preserve"> PAGEREF _Toc2966 \h </w:instrText>
          </w:r>
          <w:r>
            <w:fldChar w:fldCharType="separate"/>
          </w:r>
          <w:r>
            <w:t>4</w:t>
          </w:r>
          <w:r>
            <w:fldChar w:fldCharType="end"/>
          </w:r>
          <w:r>
            <w:rPr>
              <w:lang w:val="en-US" w:eastAsia="zh-CN"/>
              <w:szCs w:val="52"/>
              <w:rFonts w:ascii="楷体" w:hAnsi="楷体" w:eastAsia="楷体" w:hint="eastAsia"/>
            </w:rPr>
            <w:fldChar w:fldCharType="end"/>
          </w:r>
        </w:p>
        <w:p>
          <w:pPr>
            <w:pStyle w:val="13"/>
            <w:tabs>
              <w:tab w:val="right" w:leader="dot" w:pos="8306"/>
            </w:tabs>
          </w:pPr>
          <w:r>
            <w:rPr>
              <w:lang w:val="en-US" w:eastAsia="zh-CN"/>
              <w:szCs w:val="52"/>
              <w:rFonts w:ascii="楷体" w:hAnsi="楷体" w:eastAsia="楷体" w:hint="eastAsia"/>
            </w:rPr>
            <w:fldChar w:fldCharType="begin"/>
          </w:r>
          <w:r>
            <w:rPr>
              <w:lang w:val="en-US" w:eastAsia="zh-CN"/>
              <w:szCs w:val="52"/>
              <w:rFonts w:ascii="楷体" w:hAnsi="楷体" w:eastAsia="楷体" w:hint="eastAsia"/>
            </w:rPr>
            <w:instrText xml:space="preserve"> HYPERLINK \l _Toc7024 </w:instrText>
          </w:r>
          <w:r>
            <w:rPr>
              <w:lang w:val="en-US" w:eastAsia="zh-CN"/>
              <w:szCs w:val="52"/>
              <w:rFonts w:ascii="楷体" w:hAnsi="楷体" w:eastAsia="楷体" w:hint="eastAsia"/>
            </w:rPr>
            <w:fldChar w:fldCharType="separate"/>
          </w:r>
          <w:r>
            <w:rPr>
              <w:lang w:val="en-US" w:eastAsia="zh-CN"/>
              <w:rFonts w:hint="eastAsia"/>
            </w:rPr>
            <w:t>2.2功能原理</w:t>
          </w:r>
          <w:r>
            <w:tab/>
          </w:r>
          <w:r>
            <w:fldChar w:fldCharType="begin"/>
          </w:r>
          <w:r>
            <w:instrText xml:space="preserve"> PAGEREF _Toc7024 \h </w:instrText>
          </w:r>
          <w:r>
            <w:fldChar w:fldCharType="separate"/>
          </w:r>
          <w:r>
            <w:t>5</w:t>
          </w:r>
          <w:r>
            <w:fldChar w:fldCharType="end"/>
          </w:r>
          <w:r>
            <w:rPr>
              <w:lang w:val="en-US" w:eastAsia="zh-CN"/>
              <w:szCs w:val="52"/>
              <w:rFonts w:ascii="楷体" w:hAnsi="楷体" w:eastAsia="楷体" w:hint="eastAsia"/>
            </w:rPr>
            <w:fldChar w:fldCharType="end"/>
          </w:r>
        </w:p>
        <w:p>
          <w:pPr>
            <w:pStyle w:val="13"/>
            <w:tabs>
              <w:tab w:val="right" w:leader="dot" w:pos="8306"/>
            </w:tabs>
          </w:pPr>
          <w:r>
            <w:rPr>
              <w:lang w:val="en-US" w:eastAsia="zh-CN"/>
              <w:szCs w:val="52"/>
              <w:rFonts w:ascii="楷体" w:hAnsi="楷体" w:eastAsia="楷体" w:hint="eastAsia"/>
            </w:rPr>
            <w:fldChar w:fldCharType="begin"/>
          </w:r>
          <w:r>
            <w:rPr>
              <w:lang w:val="en-US" w:eastAsia="zh-CN"/>
              <w:szCs w:val="52"/>
              <w:rFonts w:ascii="楷体" w:hAnsi="楷体" w:eastAsia="楷体" w:hint="eastAsia"/>
            </w:rPr>
            <w:instrText xml:space="preserve"> HYPERLINK \l _Toc9614 </w:instrText>
          </w:r>
          <w:r>
            <w:rPr>
              <w:lang w:val="en-US" w:eastAsia="zh-CN"/>
              <w:szCs w:val="52"/>
              <w:rFonts w:ascii="楷体" w:hAnsi="楷体" w:eastAsia="楷体" w:hint="eastAsia"/>
            </w:rPr>
            <w:fldChar w:fldCharType="separate"/>
          </w:r>
          <w:r>
            <w:rPr>
              <w:lang w:val="en-US" w:eastAsia="zh-CN"/>
              <w:rFonts w:hint="eastAsia"/>
            </w:rPr>
            <w:t>2.3 配置原则</w:t>
          </w:r>
          <w:r>
            <w:tab/>
          </w:r>
          <w:r>
            <w:fldChar w:fldCharType="begin"/>
          </w:r>
          <w:r>
            <w:instrText xml:space="preserve"> PAGEREF _Toc9614 \h </w:instrText>
          </w:r>
          <w:r>
            <w:fldChar w:fldCharType="separate"/>
          </w:r>
          <w:r>
            <w:t>5</w:t>
          </w:r>
          <w:r>
            <w:fldChar w:fldCharType="end"/>
          </w:r>
          <w:r>
            <w:rPr>
              <w:lang w:val="en-US" w:eastAsia="zh-CN"/>
              <w:szCs w:val="52"/>
              <w:rFonts w:ascii="楷体" w:hAnsi="楷体" w:eastAsia="楷体" w:hint="eastAsia"/>
            </w:rPr>
            <w:fldChar w:fldCharType="end"/>
          </w:r>
        </w:p>
        <w:p>
          <w:pPr>
            <w:pStyle w:val="12"/>
            <w:tabs>
              <w:tab w:val="right" w:leader="dot" w:pos="8306"/>
            </w:tabs>
          </w:pPr>
          <w:r>
            <w:rPr>
              <w:lang w:val="en-US" w:eastAsia="zh-CN"/>
              <w:szCs w:val="52"/>
              <w:rFonts w:ascii="楷体" w:hAnsi="楷体" w:eastAsia="楷体" w:hint="eastAsia"/>
            </w:rPr>
            <w:fldChar w:fldCharType="begin"/>
          </w:r>
          <w:r>
            <w:rPr>
              <w:lang w:val="en-US" w:eastAsia="zh-CN"/>
              <w:szCs w:val="52"/>
              <w:rFonts w:ascii="楷体" w:hAnsi="楷体" w:eastAsia="楷体" w:hint="eastAsia"/>
            </w:rPr>
            <w:instrText xml:space="preserve"> HYPERLINK \l _Toc13985 </w:instrText>
          </w:r>
          <w:r>
            <w:rPr>
              <w:lang w:val="en-US" w:eastAsia="zh-CN"/>
              <w:szCs w:val="52"/>
              <w:rFonts w:ascii="楷体" w:hAnsi="楷体" w:eastAsia="楷体" w:hint="eastAsia"/>
            </w:rPr>
            <w:fldChar w:fldCharType="separate"/>
          </w:r>
          <w:r>
            <w:rPr>
              <w:lang w:val="en-US" w:eastAsia="zh-CN"/>
              <w:rFonts w:hint="eastAsia"/>
            </w:rPr>
            <w:t>3.装置技术参数</w:t>
          </w:r>
          <w:r>
            <w:tab/>
          </w:r>
          <w:r>
            <w:fldChar w:fldCharType="begin"/>
          </w:r>
          <w:r>
            <w:instrText xml:space="preserve"> PAGEREF _Toc13985 \h </w:instrText>
          </w:r>
          <w:r>
            <w:fldChar w:fldCharType="separate"/>
          </w:r>
          <w:r>
            <w:t>6</w:t>
          </w:r>
          <w:r>
            <w:fldChar w:fldCharType="end"/>
          </w:r>
          <w:r>
            <w:rPr>
              <w:lang w:val="en-US" w:eastAsia="zh-CN"/>
              <w:szCs w:val="52"/>
              <w:rFonts w:ascii="楷体" w:hAnsi="楷体" w:eastAsia="楷体" w:hint="eastAsia"/>
            </w:rPr>
            <w:fldChar w:fldCharType="end"/>
          </w:r>
        </w:p>
        <w:p>
          <w:pPr>
            <w:pStyle w:val="13"/>
            <w:tabs>
              <w:tab w:val="right" w:leader="dot" w:pos="8306"/>
            </w:tabs>
          </w:pPr>
          <w:r>
            <w:rPr>
              <w:lang w:val="en-US" w:eastAsia="zh-CN"/>
              <w:szCs w:val="52"/>
              <w:rFonts w:ascii="楷体" w:hAnsi="楷体" w:eastAsia="楷体" w:hint="eastAsia"/>
            </w:rPr>
            <w:fldChar w:fldCharType="begin"/>
          </w:r>
          <w:r>
            <w:rPr>
              <w:lang w:val="en-US" w:eastAsia="zh-CN"/>
              <w:szCs w:val="52"/>
              <w:rFonts w:ascii="楷体" w:hAnsi="楷体" w:eastAsia="楷体" w:hint="eastAsia"/>
            </w:rPr>
            <w:instrText xml:space="preserve"> HYPERLINK \l _Toc8150 </w:instrText>
          </w:r>
          <w:r>
            <w:rPr>
              <w:lang w:val="en-US" w:eastAsia="zh-CN"/>
              <w:szCs w:val="52"/>
              <w:rFonts w:ascii="楷体" w:hAnsi="楷体" w:eastAsia="楷体" w:hint="eastAsia"/>
            </w:rPr>
            <w:fldChar w:fldCharType="separate"/>
          </w:r>
          <w:r>
            <w:rPr>
              <w:rFonts w:hint="eastAsia"/>
            </w:rPr>
            <w:t>3.</w:t>
          </w:r>
          <w:r>
            <w:rPr>
              <w:lang w:val="en-US" w:eastAsia="zh-CN"/>
              <w:rFonts w:hint="eastAsia"/>
            </w:rPr>
            <w:t>1</w:t>
          </w:r>
          <w:r>
            <w:rPr>
              <w:rFonts w:hint="eastAsia"/>
            </w:rPr>
            <w:t xml:space="preserve"> 技术指标</w:t>
          </w:r>
          <w:r>
            <w:tab/>
          </w:r>
          <w:r>
            <w:fldChar w:fldCharType="begin"/>
          </w:r>
          <w:r>
            <w:instrText xml:space="preserve"> PAGEREF _Toc8150 \h </w:instrText>
          </w:r>
          <w:r>
            <w:fldChar w:fldCharType="separate"/>
          </w:r>
          <w:r>
            <w:t>6</w:t>
          </w:r>
          <w:r>
            <w:fldChar w:fldCharType="end"/>
          </w:r>
          <w:r>
            <w:rPr>
              <w:lang w:val="en-US" w:eastAsia="zh-CN"/>
              <w:szCs w:val="52"/>
              <w:rFonts w:ascii="楷体" w:hAnsi="楷体" w:eastAsia="楷体" w:hint="eastAsia"/>
            </w:rPr>
            <w:fldChar w:fldCharType="end"/>
          </w:r>
        </w:p>
        <w:p>
          <w:pPr>
            <w:pStyle w:val="13"/>
            <w:tabs>
              <w:tab w:val="right" w:leader="dot" w:pos="8306"/>
            </w:tabs>
          </w:pPr>
          <w:r>
            <w:rPr>
              <w:lang w:val="en-US" w:eastAsia="zh-CN"/>
              <w:szCs w:val="52"/>
              <w:rFonts w:ascii="楷体" w:hAnsi="楷体" w:eastAsia="楷体" w:hint="eastAsia"/>
            </w:rPr>
            <w:fldChar w:fldCharType="begin"/>
          </w:r>
          <w:r>
            <w:rPr>
              <w:lang w:val="en-US" w:eastAsia="zh-CN"/>
              <w:szCs w:val="52"/>
              <w:rFonts w:ascii="楷体" w:hAnsi="楷体" w:eastAsia="楷体" w:hint="eastAsia"/>
            </w:rPr>
            <w:instrText xml:space="preserve"> HYPERLINK \l _Toc20186 </w:instrText>
          </w:r>
          <w:r>
            <w:rPr>
              <w:lang w:val="en-US" w:eastAsia="zh-CN"/>
              <w:szCs w:val="52"/>
              <w:rFonts w:ascii="楷体" w:hAnsi="楷体" w:eastAsia="楷体" w:hint="eastAsia"/>
            </w:rPr>
            <w:fldChar w:fldCharType="separate"/>
          </w:r>
          <w:r>
            <w:rPr>
              <w:rFonts w:hint="eastAsia"/>
            </w:rPr>
            <w:t>3.</w:t>
          </w:r>
          <w:r>
            <w:rPr>
              <w:lang w:val="en-US" w:eastAsia="zh-CN"/>
              <w:rFonts w:hint="eastAsia"/>
            </w:rPr>
            <w:t>2</w:t>
          </w:r>
          <w:r>
            <w:rPr>
              <w:rFonts w:hint="eastAsia"/>
            </w:rPr>
            <w:t>循技术标准</w:t>
          </w:r>
          <w:r>
            <w:tab/>
          </w:r>
          <w:r>
            <w:fldChar w:fldCharType="begin"/>
          </w:r>
          <w:r>
            <w:instrText xml:space="preserve"> PAGEREF _Toc20186 \h </w:instrText>
          </w:r>
          <w:r>
            <w:fldChar w:fldCharType="separate"/>
          </w:r>
          <w:r>
            <w:t>7</w:t>
          </w:r>
          <w:r>
            <w:fldChar w:fldCharType="end"/>
          </w:r>
          <w:r>
            <w:rPr>
              <w:lang w:val="en-US" w:eastAsia="zh-CN"/>
              <w:szCs w:val="52"/>
              <w:rFonts w:ascii="楷体" w:hAnsi="楷体" w:eastAsia="楷体" w:hint="eastAsia"/>
            </w:rPr>
            <w:fldChar w:fldCharType="end"/>
          </w:r>
        </w:p>
        <w:p>
          <w:pPr>
            <w:pStyle w:val="12"/>
            <w:tabs>
              <w:tab w:val="right" w:leader="dot" w:pos="8306"/>
            </w:tabs>
          </w:pPr>
          <w:r>
            <w:rPr>
              <w:lang w:val="en-US" w:eastAsia="zh-CN"/>
              <w:szCs w:val="52"/>
              <w:rFonts w:ascii="楷体" w:hAnsi="楷体" w:eastAsia="楷体" w:hint="eastAsia"/>
            </w:rPr>
            <w:fldChar w:fldCharType="begin"/>
          </w:r>
          <w:r>
            <w:rPr>
              <w:lang w:val="en-US" w:eastAsia="zh-CN"/>
              <w:szCs w:val="52"/>
              <w:rFonts w:ascii="楷体" w:hAnsi="楷体" w:eastAsia="楷体" w:hint="eastAsia"/>
            </w:rPr>
            <w:instrText xml:space="preserve"> HYPERLINK \l _Toc535 </w:instrText>
          </w:r>
          <w:r>
            <w:rPr>
              <w:lang w:val="en-US" w:eastAsia="zh-CN"/>
              <w:szCs w:val="52"/>
              <w:rFonts w:ascii="楷体" w:hAnsi="楷体" w:eastAsia="楷体" w:hint="eastAsia"/>
            </w:rPr>
            <w:fldChar w:fldCharType="separate"/>
          </w:r>
          <w:r>
            <w:rPr>
              <w:rFonts w:hint="eastAsia"/>
            </w:rPr>
            <w:t>4. 硬件结构</w:t>
          </w:r>
          <w:r>
            <w:tab/>
          </w:r>
          <w:r>
            <w:fldChar w:fldCharType="begin"/>
          </w:r>
          <w:r>
            <w:instrText xml:space="preserve"> PAGEREF _Toc535 \h </w:instrText>
          </w:r>
          <w:r>
            <w:fldChar w:fldCharType="separate"/>
          </w:r>
          <w:r>
            <w:t>8</w:t>
          </w:r>
          <w:r>
            <w:fldChar w:fldCharType="end"/>
          </w:r>
          <w:r>
            <w:rPr>
              <w:lang w:val="en-US" w:eastAsia="zh-CN"/>
              <w:szCs w:val="52"/>
              <w:rFonts w:ascii="楷体" w:hAnsi="楷体" w:eastAsia="楷体" w:hint="eastAsia"/>
            </w:rPr>
            <w:fldChar w:fldCharType="end"/>
          </w:r>
        </w:p>
        <w:p>
          <w:pPr>
            <w:pStyle w:val="13"/>
            <w:tabs>
              <w:tab w:val="right" w:leader="dot" w:pos="8306"/>
            </w:tabs>
          </w:pPr>
          <w:r>
            <w:rPr>
              <w:lang w:val="en-US" w:eastAsia="zh-CN"/>
              <w:szCs w:val="52"/>
              <w:rFonts w:ascii="楷体" w:hAnsi="楷体" w:eastAsia="楷体" w:hint="eastAsia"/>
            </w:rPr>
            <w:fldChar w:fldCharType="begin"/>
          </w:r>
          <w:r>
            <w:rPr>
              <w:lang w:val="en-US" w:eastAsia="zh-CN"/>
              <w:szCs w:val="52"/>
              <w:rFonts w:ascii="楷体" w:hAnsi="楷体" w:eastAsia="楷体" w:hint="eastAsia"/>
            </w:rPr>
            <w:instrText xml:space="preserve"> HYPERLINK \l _Toc26356 </w:instrText>
          </w:r>
          <w:r>
            <w:rPr>
              <w:lang w:val="en-US" w:eastAsia="zh-CN"/>
              <w:szCs w:val="52"/>
              <w:rFonts w:ascii="楷体" w:hAnsi="楷体" w:eastAsia="楷体" w:hint="eastAsia"/>
            </w:rPr>
            <w:fldChar w:fldCharType="separate"/>
          </w:r>
          <w:r>
            <w:rPr>
              <w:lang w:val="en-US" w:eastAsia="zh-CN"/>
              <w:rFonts w:hint="eastAsia"/>
            </w:rPr>
            <w:t>4.1装置外观</w:t>
          </w:r>
          <w:r>
            <w:tab/>
          </w:r>
          <w:r>
            <w:fldChar w:fldCharType="begin"/>
          </w:r>
          <w:r>
            <w:instrText xml:space="preserve"> PAGEREF _Toc26356 \h </w:instrText>
          </w:r>
          <w:r>
            <w:fldChar w:fldCharType="separate"/>
          </w:r>
          <w:r>
            <w:t>8</w:t>
          </w:r>
          <w:r>
            <w:fldChar w:fldCharType="end"/>
          </w:r>
          <w:r>
            <w:rPr>
              <w:lang w:val="en-US" w:eastAsia="zh-CN"/>
              <w:szCs w:val="52"/>
              <w:rFonts w:ascii="楷体" w:hAnsi="楷体" w:eastAsia="楷体" w:hint="eastAsia"/>
            </w:rPr>
            <w:fldChar w:fldCharType="end"/>
          </w:r>
        </w:p>
        <w:p>
          <w:pPr>
            <w:pStyle w:val="13"/>
            <w:tabs>
              <w:tab w:val="right" w:leader="dot" w:pos="8306"/>
            </w:tabs>
          </w:pPr>
          <w:r>
            <w:rPr>
              <w:lang w:val="en-US" w:eastAsia="zh-CN"/>
              <w:szCs w:val="52"/>
              <w:rFonts w:ascii="楷体" w:hAnsi="楷体" w:eastAsia="楷体" w:hint="eastAsia"/>
            </w:rPr>
            <w:fldChar w:fldCharType="begin"/>
          </w:r>
          <w:r>
            <w:rPr>
              <w:lang w:val="en-US" w:eastAsia="zh-CN"/>
              <w:szCs w:val="52"/>
              <w:rFonts w:ascii="楷体" w:hAnsi="楷体" w:eastAsia="楷体" w:hint="eastAsia"/>
            </w:rPr>
            <w:instrText xml:space="preserve"> HYPERLINK \l _Toc15952 </w:instrText>
          </w:r>
          <w:r>
            <w:rPr>
              <w:lang w:val="en-US" w:eastAsia="zh-CN"/>
              <w:szCs w:val="52"/>
              <w:rFonts w:ascii="楷体" w:hAnsi="楷体" w:eastAsia="楷体" w:hint="eastAsia"/>
            </w:rPr>
            <w:fldChar w:fldCharType="separate"/>
          </w:r>
          <w:r>
            <w:rPr>
              <w:rFonts w:hint="eastAsia"/>
            </w:rPr>
            <w:t>4.2 户外柜结构</w:t>
          </w:r>
          <w:r>
            <w:tab/>
          </w:r>
          <w:r>
            <w:fldChar w:fldCharType="begin"/>
          </w:r>
          <w:r>
            <w:instrText xml:space="preserve"> PAGEREF _Toc15952 \h </w:instrText>
          </w:r>
          <w:r>
            <w:fldChar w:fldCharType="separate"/>
          </w:r>
          <w:r>
            <w:t>9</w:t>
          </w:r>
          <w:r>
            <w:fldChar w:fldCharType="end"/>
          </w:r>
          <w:r>
            <w:rPr>
              <w:lang w:val="en-US" w:eastAsia="zh-CN"/>
              <w:szCs w:val="52"/>
              <w:rFonts w:ascii="楷体" w:hAnsi="楷体" w:eastAsia="楷体" w:hint="eastAsia"/>
            </w:rPr>
            <w:fldChar w:fldCharType="end"/>
          </w:r>
        </w:p>
        <w:p>
          <w:pPr>
            <w:pStyle w:val="13"/>
            <w:tabs>
              <w:tab w:val="right" w:leader="dot" w:pos="8306"/>
            </w:tabs>
          </w:pPr>
          <w:r>
            <w:rPr>
              <w:lang w:val="en-US" w:eastAsia="zh-CN"/>
              <w:szCs w:val="52"/>
              <w:rFonts w:ascii="楷体" w:hAnsi="楷体" w:eastAsia="楷体" w:hint="eastAsia"/>
            </w:rPr>
            <w:fldChar w:fldCharType="begin"/>
          </w:r>
          <w:r>
            <w:rPr>
              <w:lang w:val="en-US" w:eastAsia="zh-CN"/>
              <w:szCs w:val="52"/>
              <w:rFonts w:ascii="楷体" w:hAnsi="楷体" w:eastAsia="楷体" w:hint="eastAsia"/>
            </w:rPr>
            <w:instrText xml:space="preserve"> HYPERLINK \l _Toc24917 </w:instrText>
          </w:r>
          <w:r>
            <w:rPr>
              <w:lang w:val="en-US" w:eastAsia="zh-CN"/>
              <w:szCs w:val="52"/>
              <w:rFonts w:ascii="楷体" w:hAnsi="楷体" w:eastAsia="楷体" w:hint="eastAsia"/>
            </w:rPr>
            <w:fldChar w:fldCharType="separate"/>
          </w:r>
          <w:r>
            <w:rPr>
              <w:lang w:val="en-US" w:eastAsia="zh-CN"/>
              <w:rFonts w:hint="eastAsia"/>
            </w:rPr>
            <w:t>4.3装置安装</w:t>
          </w:r>
          <w:r>
            <w:tab/>
          </w:r>
          <w:r>
            <w:fldChar w:fldCharType="begin"/>
          </w:r>
          <w:r>
            <w:instrText xml:space="preserve"> PAGEREF _Toc24917 \h </w:instrText>
          </w:r>
          <w:r>
            <w:fldChar w:fldCharType="separate"/>
          </w:r>
          <w:r>
            <w:t>10</w:t>
          </w:r>
          <w:r>
            <w:fldChar w:fldCharType="end"/>
          </w:r>
          <w:r>
            <w:rPr>
              <w:lang w:val="en-US" w:eastAsia="zh-CN"/>
              <w:szCs w:val="52"/>
              <w:rFonts w:ascii="楷体" w:hAnsi="楷体" w:eastAsia="楷体" w:hint="eastAsia"/>
            </w:rPr>
            <w:fldChar w:fldCharType="end"/>
          </w:r>
        </w:p>
        <w:p>
          <w:pPr>
            <w:pStyle w:val="8"/>
            <w:tabs>
              <w:tab w:val="right" w:leader="dot" w:pos="8306"/>
            </w:tabs>
          </w:pPr>
          <w:r>
            <w:rPr>
              <w:lang w:val="en-US" w:eastAsia="zh-CN"/>
              <w:szCs w:val="52"/>
              <w:rFonts w:ascii="楷体" w:hAnsi="楷体" w:eastAsia="楷体" w:hint="eastAsia"/>
            </w:rPr>
            <w:fldChar w:fldCharType="begin"/>
          </w:r>
          <w:r>
            <w:rPr>
              <w:lang w:val="en-US" w:eastAsia="zh-CN"/>
              <w:szCs w:val="52"/>
              <w:rFonts w:ascii="楷体" w:hAnsi="楷体" w:eastAsia="楷体" w:hint="eastAsia"/>
            </w:rPr>
            <w:instrText xml:space="preserve"> HYPERLINK \l _Toc3113 </w:instrText>
          </w:r>
          <w:r>
            <w:rPr>
              <w:lang w:val="en-US" w:eastAsia="zh-CN"/>
              <w:szCs w:val="52"/>
              <w:rFonts w:ascii="楷体" w:hAnsi="楷体" w:eastAsia="楷体" w:hint="eastAsia"/>
            </w:rPr>
            <w:fldChar w:fldCharType="separate"/>
          </w:r>
          <w:r>
            <w:rPr>
              <w:lang w:val="en-US" w:eastAsia="zh-CN"/>
              <w:rFonts w:hint="eastAsia"/>
            </w:rPr>
            <w:t>4.3.1安装注意点</w:t>
          </w:r>
          <w:r>
            <w:tab/>
          </w:r>
          <w:r>
            <w:fldChar w:fldCharType="begin"/>
          </w:r>
          <w:r>
            <w:instrText xml:space="preserve"> PAGEREF _Toc3113 \h </w:instrText>
          </w:r>
          <w:r>
            <w:fldChar w:fldCharType="separate"/>
          </w:r>
          <w:r>
            <w:t>10</w:t>
          </w:r>
          <w:r>
            <w:fldChar w:fldCharType="end"/>
          </w:r>
          <w:r>
            <w:rPr>
              <w:lang w:val="en-US" w:eastAsia="zh-CN"/>
              <w:szCs w:val="52"/>
              <w:rFonts w:ascii="楷体" w:hAnsi="楷体" w:eastAsia="楷体" w:hint="eastAsia"/>
            </w:rPr>
            <w:fldChar w:fldCharType="end"/>
          </w:r>
        </w:p>
        <w:p>
          <w:pPr>
            <w:pStyle w:val="8"/>
            <w:tabs>
              <w:tab w:val="right" w:leader="dot" w:pos="8306"/>
            </w:tabs>
          </w:pPr>
          <w:r>
            <w:rPr>
              <w:lang w:val="en-US" w:eastAsia="zh-CN"/>
              <w:szCs w:val="52"/>
              <w:rFonts w:ascii="楷体" w:hAnsi="楷体" w:eastAsia="楷体" w:hint="eastAsia"/>
            </w:rPr>
            <w:fldChar w:fldCharType="begin"/>
          </w:r>
          <w:r>
            <w:rPr>
              <w:lang w:val="en-US" w:eastAsia="zh-CN"/>
              <w:szCs w:val="52"/>
              <w:rFonts w:ascii="楷体" w:hAnsi="楷体" w:eastAsia="楷体" w:hint="eastAsia"/>
            </w:rPr>
            <w:instrText xml:space="preserve"> HYPERLINK \l _Toc25206 </w:instrText>
          </w:r>
          <w:r>
            <w:rPr>
              <w:lang w:val="en-US" w:eastAsia="zh-CN"/>
              <w:szCs w:val="52"/>
              <w:rFonts w:ascii="楷体" w:hAnsi="楷体" w:eastAsia="楷体" w:hint="eastAsia"/>
            </w:rPr>
            <w:fldChar w:fldCharType="separate"/>
          </w:r>
          <w:r>
            <w:rPr>
              <w:lang w:val="en-US" w:eastAsia="zh-CN"/>
              <w:rFonts w:hint="eastAsia"/>
            </w:rPr>
            <w:t>4.3.2安装示意图</w:t>
          </w:r>
          <w:r>
            <w:tab/>
          </w:r>
          <w:r>
            <w:fldChar w:fldCharType="begin"/>
          </w:r>
          <w:r>
            <w:instrText xml:space="preserve"> PAGEREF _Toc25206 \h </w:instrText>
          </w:r>
          <w:r>
            <w:fldChar w:fldCharType="separate"/>
          </w:r>
          <w:r>
            <w:t>13</w:t>
          </w:r>
          <w:r>
            <w:fldChar w:fldCharType="end"/>
          </w:r>
          <w:r>
            <w:rPr>
              <w:lang w:val="en-US" w:eastAsia="zh-CN"/>
              <w:szCs w:val="52"/>
              <w:rFonts w:ascii="楷体" w:hAnsi="楷体" w:eastAsia="楷体" w:hint="eastAsia"/>
            </w:rPr>
            <w:fldChar w:fldCharType="end"/>
          </w:r>
        </w:p>
        <w:p>
          <w:pPr>
            <w:pStyle w:val="12"/>
            <w:tabs>
              <w:tab w:val="right" w:leader="dot" w:pos="8306"/>
            </w:tabs>
          </w:pPr>
          <w:r>
            <w:rPr>
              <w:lang w:val="en-US" w:eastAsia="zh-CN"/>
              <w:szCs w:val="52"/>
              <w:rFonts w:ascii="楷体" w:hAnsi="楷体" w:eastAsia="楷体" w:hint="eastAsia"/>
            </w:rPr>
            <w:fldChar w:fldCharType="begin"/>
          </w:r>
          <w:r>
            <w:rPr>
              <w:lang w:val="en-US" w:eastAsia="zh-CN"/>
              <w:szCs w:val="52"/>
              <w:rFonts w:ascii="楷体" w:hAnsi="楷体" w:eastAsia="楷体" w:hint="eastAsia"/>
            </w:rPr>
            <w:instrText xml:space="preserve"> HYPERLINK \l _Toc25568 </w:instrText>
          </w:r>
          <w:r>
            <w:rPr>
              <w:lang w:val="en-US" w:eastAsia="zh-CN"/>
              <w:szCs w:val="52"/>
              <w:rFonts w:ascii="楷体" w:hAnsi="楷体" w:eastAsia="楷体" w:hint="eastAsia"/>
            </w:rPr>
            <w:fldChar w:fldCharType="separate"/>
          </w:r>
          <w:r>
            <w:rPr>
              <w:rFonts w:hint="eastAsia"/>
            </w:rPr>
            <w:t>附录A：变压器智能组件监测报警值参考</w:t>
          </w:r>
          <w:r>
            <w:tab/>
          </w:r>
          <w:r>
            <w:fldChar w:fldCharType="begin"/>
          </w:r>
          <w:r>
            <w:instrText xml:space="preserve"> PAGEREF _Toc25568 \h </w:instrText>
          </w:r>
          <w:r>
            <w:fldChar w:fldCharType="separate"/>
          </w:r>
          <w:r>
            <w:t>14</w:t>
          </w:r>
          <w:r>
            <w:fldChar w:fldCharType="end"/>
          </w:r>
          <w:r>
            <w:rPr>
              <w:lang w:val="en-US" w:eastAsia="zh-CN"/>
              <w:szCs w:val="52"/>
              <w:rFonts w:ascii="楷体" w:hAnsi="楷体" w:eastAsia="楷体" w:hint="eastAsia"/>
            </w:rPr>
            <w:fldChar w:fldCharType="end"/>
          </w:r>
        </w:p>
        <w:p>
          <w:pPr>
            <w:pStyle w:val="12"/>
            <w:tabs>
              <w:tab w:val="right" w:leader="dot" w:pos="8306"/>
            </w:tabs>
          </w:pPr>
          <w:r>
            <w:rPr>
              <w:lang w:val="en-US" w:eastAsia="zh-CN"/>
              <w:szCs w:val="52"/>
              <w:rFonts w:ascii="楷体" w:hAnsi="楷体" w:eastAsia="楷体" w:hint="eastAsia"/>
            </w:rPr>
            <w:fldChar w:fldCharType="begin"/>
          </w:r>
          <w:r>
            <w:rPr>
              <w:lang w:val="en-US" w:eastAsia="zh-CN"/>
              <w:szCs w:val="52"/>
              <w:rFonts w:ascii="楷体" w:hAnsi="楷体" w:eastAsia="楷体" w:hint="eastAsia"/>
            </w:rPr>
            <w:instrText xml:space="preserve"> HYPERLINK \l _Toc30881 </w:instrText>
          </w:r>
          <w:r>
            <w:rPr>
              <w:lang w:val="en-US" w:eastAsia="zh-CN"/>
              <w:szCs w:val="52"/>
              <w:rFonts w:ascii="楷体" w:hAnsi="楷体" w:eastAsia="楷体" w:hint="eastAsia"/>
            </w:rPr>
            <w:fldChar w:fldCharType="separate"/>
          </w:r>
          <w:r>
            <w:rPr>
              <w:rFonts w:hint="eastAsia"/>
            </w:rPr>
            <w:t>A.1变压器（电抗器）油中溶解气体报警值</w:t>
          </w:r>
          <w:r>
            <w:tab/>
          </w:r>
          <w:r>
            <w:fldChar w:fldCharType="begin"/>
          </w:r>
          <w:r>
            <w:instrText xml:space="preserve"> PAGEREF _Toc30881 \h </w:instrText>
          </w:r>
          <w:r>
            <w:fldChar w:fldCharType="separate"/>
          </w:r>
          <w:r>
            <w:t>14</w:t>
          </w:r>
          <w:r>
            <w:fldChar w:fldCharType="end"/>
          </w:r>
          <w:r>
            <w:rPr>
              <w:lang w:val="en-US" w:eastAsia="zh-CN"/>
              <w:szCs w:val="52"/>
              <w:rFonts w:ascii="楷体" w:hAnsi="楷体" w:eastAsia="楷体" w:hint="eastAsia"/>
            </w:rPr>
            <w:fldChar w:fldCharType="end"/>
          </w:r>
        </w:p>
        <w:p>
          <w:pPr>
            <w:pStyle w:val="12"/>
            <w:tabs>
              <w:tab w:val="right" w:leader="dot" w:pos="8306"/>
            </w:tabs>
          </w:pPr>
          <w:r>
            <w:rPr>
              <w:lang w:val="en-US" w:eastAsia="zh-CN"/>
              <w:szCs w:val="52"/>
              <w:rFonts w:ascii="楷体" w:hAnsi="楷体" w:eastAsia="楷体" w:hint="eastAsia"/>
            </w:rPr>
            <w:fldChar w:fldCharType="begin"/>
          </w:r>
          <w:r>
            <w:rPr>
              <w:lang w:val="en-US" w:eastAsia="zh-CN"/>
              <w:szCs w:val="52"/>
              <w:rFonts w:ascii="楷体" w:hAnsi="楷体" w:eastAsia="楷体" w:hint="eastAsia"/>
            </w:rPr>
            <w:instrText xml:space="preserve"> HYPERLINK \l _Toc15765 </w:instrText>
          </w:r>
          <w:r>
            <w:rPr>
              <w:lang w:val="en-US" w:eastAsia="zh-CN"/>
              <w:szCs w:val="52"/>
              <w:rFonts w:ascii="楷体" w:hAnsi="楷体" w:eastAsia="楷体" w:hint="eastAsia"/>
            </w:rPr>
            <w:fldChar w:fldCharType="separate"/>
          </w:r>
          <w:r>
            <w:rPr>
              <w:kern w:val="0"/>
              <w:rFonts w:hint="eastAsia"/>
            </w:rPr>
            <w:t>A.2变压器油中微水监测报警值</w:t>
          </w:r>
          <w:r>
            <w:tab/>
          </w:r>
          <w:r>
            <w:fldChar w:fldCharType="begin"/>
          </w:r>
          <w:r>
            <w:instrText xml:space="preserve"> PAGEREF _Toc15765 \h </w:instrText>
          </w:r>
          <w:r>
            <w:fldChar w:fldCharType="separate"/>
          </w:r>
          <w:r>
            <w:t>15</w:t>
          </w:r>
          <w:r>
            <w:fldChar w:fldCharType="end"/>
          </w:r>
          <w:r>
            <w:rPr>
              <w:lang w:val="en-US" w:eastAsia="zh-CN"/>
              <w:szCs w:val="52"/>
              <w:rFonts w:ascii="楷体" w:hAnsi="楷体" w:eastAsia="楷体" w:hint="eastAsia"/>
            </w:rPr>
            <w:fldChar w:fldCharType="end"/>
          </w:r>
        </w:p>
        <w:p>
          <w:pPr>
            <w:pStyle w:val="12"/>
            <w:tabs>
              <w:tab w:val="right" w:leader="dot" w:pos="8306"/>
            </w:tabs>
          </w:pPr>
          <w:r>
            <w:rPr>
              <w:lang w:val="en-US" w:eastAsia="zh-CN"/>
              <w:szCs w:val="52"/>
              <w:rFonts w:ascii="楷体" w:hAnsi="楷体" w:eastAsia="楷体" w:hint="eastAsia"/>
            </w:rPr>
            <w:fldChar w:fldCharType="begin"/>
          </w:r>
          <w:r>
            <w:rPr>
              <w:lang w:val="en-US" w:eastAsia="zh-CN"/>
              <w:szCs w:val="52"/>
              <w:rFonts w:ascii="楷体" w:hAnsi="楷体" w:eastAsia="楷体" w:hint="eastAsia"/>
            </w:rPr>
            <w:instrText xml:space="preserve"> HYPERLINK \l _Toc14980 </w:instrText>
          </w:r>
          <w:r>
            <w:rPr>
              <w:lang w:val="en-US" w:eastAsia="zh-CN"/>
              <w:szCs w:val="52"/>
              <w:rFonts w:ascii="楷体" w:hAnsi="楷体" w:eastAsia="楷体" w:hint="eastAsia"/>
            </w:rPr>
            <w:fldChar w:fldCharType="separate"/>
          </w:r>
          <w:r>
            <w:rPr>
              <w:rFonts w:hint="eastAsia"/>
            </w:rPr>
            <w:t>A.3变压器铁芯接地电流监测装置</w:t>
          </w:r>
          <w:r>
            <w:tab/>
          </w:r>
          <w:r>
            <w:fldChar w:fldCharType="begin"/>
          </w:r>
          <w:r>
            <w:instrText xml:space="preserve"> PAGEREF _Toc14980 \h </w:instrText>
          </w:r>
          <w:r>
            <w:fldChar w:fldCharType="separate"/>
          </w:r>
          <w:r>
            <w:t>16</w:t>
          </w:r>
          <w:r>
            <w:fldChar w:fldCharType="end"/>
          </w:r>
          <w:r>
            <w:rPr>
              <w:lang w:val="en-US" w:eastAsia="zh-CN"/>
              <w:szCs w:val="52"/>
              <w:rFonts w:ascii="楷体" w:hAnsi="楷体" w:eastAsia="楷体" w:hint="eastAsia"/>
            </w:rPr>
            <w:fldChar w:fldCharType="end"/>
          </w:r>
        </w:p>
        <w:p>
          <w:pPr>
            <w:pStyle w:val="9"/>
            <w:jc w:val="both"/>
            <w:ind w:firstLine="960" w:firstLineChars="400"/>
            <w:rPr>
              <w:b w:val="1"/>
              <w:sz w:val="52"/>
              <w:lang w:val="en-US" w:eastAsia="zh-CN"/>
              <w:szCs w:val="52"/>
              <w:rFonts w:ascii="楷体" w:hAnsi="楷体" w:eastAsia="楷体" w:hint="eastAsia"/>
            </w:rPr>
          </w:pPr>
          <w:r>
            <w:rPr>
              <w:lang w:val="en-US" w:eastAsia="zh-CN"/>
              <w:szCs w:val="52"/>
              <w:rFonts w:ascii="楷体" w:hAnsi="楷体" w:eastAsia="楷体" w:hint="eastAsia"/>
            </w:rPr>
            <w:fldChar w:fldCharType="end"/>
          </w:r>
        </w:p>
      </w:sdtContent>
    </w:sdt>
    <w:p>
      <w:pPr>
        <w:pStyle w:val="9"/>
        <w:jc w:val="both"/>
        <w:ind w:firstLine="2088" w:firstLineChars="400"/>
        <w:rPr>
          <w:b w:val="1"/>
          <w:sz w:val="52"/>
          <w:lang w:val="en-US" w:eastAsia="zh-CN"/>
          <w:szCs w:val="52"/>
          <w:rFonts w:ascii="楷体" w:hAnsi="楷体" w:eastAsia="楷体" w:hint="eastAsia"/>
        </w:rPr>
      </w:pPr>
    </w:p>
    <w:p>
      <w:pPr>
        <w:pStyle w:val="9"/>
        <w:jc w:val="both"/>
        <w:ind w:firstLine="2088" w:firstLineChars="400"/>
        <w:rPr>
          <w:b w:val="1"/>
          <w:sz w:val="52"/>
          <w:lang w:val="en-US" w:eastAsia="zh-CN"/>
          <w:szCs w:val="52"/>
          <w:rFonts w:ascii="楷体" w:hAnsi="楷体" w:eastAsia="楷体" w:hint="eastAsia"/>
        </w:rPr>
      </w:pPr>
    </w:p>
    <w:p>
      <w:pPr>
        <w:pStyle w:val="9"/>
        <w:jc w:val="both"/>
        <w:ind w:firstLine="2088" w:firstLineChars="400"/>
        <w:rPr>
          <w:b w:val="1"/>
          <w:sz w:val="52"/>
          <w:lang w:val="en-US" w:eastAsia="zh-CN"/>
          <w:szCs w:val="52"/>
          <w:rFonts w:ascii="楷体" w:hAnsi="楷体" w:eastAsia="楷体" w:hint="eastAsia"/>
        </w:rPr>
      </w:pPr>
    </w:p>
    <w:p>
      <w:pPr>
        <w:pStyle w:val="9"/>
        <w:jc w:val="both"/>
        <w:ind w:firstLine="2088" w:firstLineChars="400"/>
        <w:rPr>
          <w:b w:val="1"/>
          <w:sz w:val="52"/>
          <w:lang w:val="en-US" w:eastAsia="zh-CN"/>
          <w:szCs w:val="52"/>
          <w:rFonts w:ascii="楷体" w:hAnsi="楷体" w:eastAsia="楷体" w:hint="eastAsia"/>
        </w:rPr>
      </w:pPr>
    </w:p>
    <w:p>
      <w:pPr>
        <w:pStyle w:val="9"/>
        <w:jc w:val="both"/>
        <w:rPr>
          <w:b w:val="1"/>
          <w:sz w:val="52"/>
          <w:lang w:val="en-US" w:eastAsia="zh-CN"/>
          <w:szCs w:val="52"/>
          <w:rFonts w:ascii="楷体" w:hAnsi="楷体" w:eastAsia="楷体" w:hint="eastAsia"/>
        </w:rPr>
      </w:pPr>
    </w:p>
    <w:p>
      <w:pPr>
        <w:pStyle w:val="4"/>
        <w:bidi w:val="0"/>
      </w:pPr>
      <w:bookmarkStart w:id="3" w:name="_Toc393354409"/>
      <w:bookmarkStart w:id="4" w:name="_Toc6235"/>
      <w:bookmarkStart w:id="5" w:name="_Toc26694"/>
      <w:bookmarkStart w:id="6" w:name="_Toc4989"/>
      <w:bookmarkStart w:id="7" w:name="_Toc9521"/>
      <w:bookmarkStart w:id="8" w:name="_Toc30230"/>
      <w:bookmarkStart w:id="9" w:name="_Toc9283"/>
      <w:bookmarkEnd w:id="3"/>
      <w:bookmarkEnd w:id="4"/>
      <w:bookmarkEnd w:id="5"/>
      <w:bookmarkEnd w:id="6"/>
      <w:bookmarkEnd w:id="7"/>
      <w:bookmarkEnd w:id="8"/>
      <w:bookmarkEnd w:id="9"/>
      <w:r>
        <w:rPr>
          <w:rFonts w:hint="eastAsia"/>
        </w:rPr>
        <w:t>1. 概述</w:t>
      </w:r>
    </w:p>
    <w:p>
      <w:pPr>
        <w:pStyle w:val="9"/>
        <w:bidi w:val="0"/>
        <w:ind w:firstLine="480" w:firstLineChars="200"/>
        <w:rPr>
          <w:rStyle w:val="16"/>
          <w:b w:val="0"/>
          <w:bCs w:val="0"/>
        </w:rPr>
      </w:pPr>
      <w:r>
        <w:rPr>
          <w:rStyle w:val="16"/>
          <w:b w:val="0"/>
          <w:bCs w:val="0"/>
          <w:rFonts w:hint="eastAsia"/>
        </w:rPr>
        <w:t>变压器油色谱在线监测系统（多组份原理）是基于气相色谱技术的变压器油中溶解多组份气体在线监测产品，如图1-1所示。系统能按设定周期在线检测出变压器油中溶解H2、CO、CO2、CH4、C2H2、C2H4、C2H6等7组份气体的含量，可通过专家系统判断是否存在潜伏性故障，是过热性故障还是放电性故障，并按设定的报警值进行报警。变压器油色谱在线监测系统能通过站控层网络将油中溶解气体在线监测信息按IEC61850标准组织上送至后台软件。</w:t>
      </w:r>
    </w:p>
    <w:p>
      <w:pPr>
        <w:pStyle w:val="9"/>
        <w:bidi w:val="0"/>
        <w:rPr>
          <w:rStyle w:val="16"/>
          <w:b w:val="0"/>
          <w:lang w:val="en-US" w:eastAsia="zh-CN"/>
          <w:bCs w:val="0"/>
          <w:rFonts w:hint="eastAsia"/>
        </w:rPr>
      </w:pPr>
      <w:r>
        <w:rPr>
          <w:rStyle w:val="16"/>
          <w:b w:val="0"/>
          <w:bCs w:val="0"/>
          <w:rFonts w:hint="eastAsia"/>
        </w:rPr>
        <w:t>装置采用分布式控制采样技术，具有自诊断、自恢复功能。各功能模件耦合弱，功能独立，采用机架式架构，便于工程维护。</w:t>
      </w:r>
    </w:p>
    <w:p>
      <w:pPr>
        <w:bidi w:val="0"/>
        <w:jc w:val="left"/>
        <w:tabs>
          <w:tab w:val="left" w:pos="4706"/>
        </w:tabs>
        <w:rPr>
          <w:sz w:val="24"/>
          <w:lang w:eastAsia="zh-CN"/>
          <w:rFonts w:ascii="宋体" w:hAnsi="宋体" w:eastAsia="宋体" w:hint="eastAsia"/>
        </w:rPr>
      </w:pPr>
    </w:p>
    <w:p>
      <w:pPr>
        <w:bidi w:val="0"/>
        <w:jc w:val="left"/>
        <w:tabs>
          <w:tab w:val="left" w:pos="4706"/>
        </w:tabs>
        <w:rPr>
          <w:sz w:val="24"/>
          <w:lang w:eastAsia="zh-CN"/>
          <w:rFonts w:ascii="宋体" w:hAnsi="宋体" w:eastAsia="宋体" w:hint="eastAsia"/>
        </w:rPr>
      </w:pPr>
    </w:p>
    <w:p>
      <w:pPr>
        <w:pStyle w:val="4"/>
        <w:bidi w:val="0"/>
        <w:numPr>
          <w:ilvl w:val="0"/>
          <w:numId w:val="1"/>
        </w:numPr>
      </w:pPr>
      <w:bookmarkStart w:id="10" w:name="_Toc32008"/>
      <w:bookmarkStart w:id="11" w:name="_Toc16518"/>
      <w:bookmarkStart w:id="12" w:name="_Toc24465"/>
      <w:bookmarkStart w:id="13" w:name="_Toc15938"/>
      <w:bookmarkStart w:id="14" w:name="_Toc12156"/>
      <w:bookmarkStart w:id="15" w:name="_Toc20274"/>
      <w:bookmarkEnd w:id="10"/>
      <w:bookmarkEnd w:id="11"/>
      <w:bookmarkEnd w:id="12"/>
      <w:bookmarkEnd w:id="13"/>
      <w:bookmarkEnd w:id="14"/>
      <w:bookmarkEnd w:id="15"/>
      <w:r>
        <w:rPr>
          <w:lang w:val="en-US" w:eastAsia="zh-CN"/>
          <w:rFonts w:hint="eastAsia"/>
        </w:rPr>
        <w:t>系统组成</w:t>
      </w:r>
      <w:r>
        <w:rPr>
          <w:rFonts w:hint="eastAsia"/>
        </w:rPr>
        <w:t>及</w:t>
      </w:r>
      <w:r>
        <w:rPr>
          <w:lang w:val="en-US" w:eastAsia="zh-CN"/>
          <w:rFonts w:hint="eastAsia"/>
        </w:rPr>
        <w:t>功能</w:t>
      </w:r>
      <w:r>
        <w:rPr>
          <w:rFonts w:hint="eastAsia"/>
        </w:rPr>
        <w:t>原理</w:t>
      </w:r>
    </w:p>
    <w:p>
      <w:pPr>
        <w:pStyle w:val="5"/>
        <w:bidi w:val="0"/>
        <w:rPr>
          <w:lang w:val="en-US" w:eastAsia="zh-CN"/>
          <w:rFonts w:hint="eastAsia"/>
        </w:rPr>
      </w:pPr>
      <w:bookmarkStart w:id="16" w:name="_Toc21241"/>
      <w:bookmarkStart w:id="17" w:name="_Toc2966"/>
      <w:bookmarkStart w:id="18" w:name="_Toc25327"/>
      <w:bookmarkStart w:id="19" w:name="_Toc22198"/>
      <w:bookmarkEnd w:id="16"/>
      <w:bookmarkEnd w:id="17"/>
      <w:bookmarkEnd w:id="18"/>
      <w:bookmarkEnd w:id="19"/>
      <w:r>
        <w:rPr>
          <w:lang w:val="en-US" w:eastAsia="zh-CN"/>
          <w:rFonts w:hint="eastAsia"/>
        </w:rPr>
        <w:t>2.1系统组成</w:t>
      </w:r>
    </w:p>
    <w:p>
      <w:pPr>
        <w:outlineLvl w:val="9"/>
        <w:ind w:firstLine="240" w:firstLineChars="100"/>
        <w:rPr>
          <w:sz w:val="24"/>
          <w:szCs w:val="24"/>
        </w:rPr>
      </w:pPr>
      <w:r>
        <w:rPr>
          <w:sz w:val="24"/>
          <w:szCs w:val="24"/>
          <w:rFonts w:ascii="宋体" w:hAnsi="宋体" w:hint="eastAsia"/>
        </w:rPr>
        <w:t>变压器油中溶解气体监测装置由</w:t>
      </w:r>
      <w:r>
        <w:rPr>
          <w:sz w:val="24"/>
          <w:szCs w:val="24"/>
          <w:rFonts w:hint="eastAsia"/>
        </w:rPr>
        <w:t>柱箱单元、脱气单元、载气单元</w:t>
      </w:r>
      <w:r>
        <w:rPr>
          <w:sz w:val="24"/>
          <w:szCs w:val="24"/>
          <w:rFonts w:ascii="宋体" w:hAnsi="宋体" w:hint="eastAsia"/>
        </w:rPr>
        <w:t>、主控单元四部分构成，如图2-1所示。</w:t>
      </w:r>
    </w:p>
    <w:p>
      <w:pPr>
        <w:bidi w:val="0"/>
        <w:jc w:val="left"/>
        <w:tabs>
          <w:tab w:val="left" w:pos="4706"/>
        </w:tabs>
      </w:pPr>
      <w:r>
        <w:rPr>
          <w:lang w:val="en-US" w:eastAsia="zh-CN"/>
          <w:rFonts w:hint="eastAsia"/>
        </w:rPr>
        <w:t xml:space="preserve">            </w:t>
      </w:r>
      <w:r>
        <w:drawing>
          <wp:inline distT="0" distB="0" distL="114300" distR="114300">
            <wp:extent cx="3611880" cy="2095500"/>
            <wp:effectExtent l="0" t="0" r="0" b="7620"/>
            <wp:docPr id="2" name="图片 1" descr="62622aa7d180b508c66106e39cd0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2622aa7d180b508c66106e39cd0474"/>
                    <pic:cNvPicPr/>
                  </pic:nvPicPr>
                  <pic:blipFill>
                    <a:blip r:embed="rId13"/>
                    <a:stretch>
                      <a:fillRect/>
                    </a:stretch>
                  </pic:blipFill>
                  <pic:spPr>
                    <a:xfrm>
                      <a:off x="0" y="0"/>
                      <a:ext cx="3611880" cy="2095500"/>
                    </a:xfrm>
                    <a:prstGeom prst="rect">
                      <a:avLst/>
                    </a:prstGeom>
                  </pic:spPr>
                </pic:pic>
              </a:graphicData>
            </a:graphic>
          </wp:inline>
        </w:drawing>
      </w:r>
    </w:p>
    <w:p>
      <w:pPr>
        <w:outlineLvl w:val="9"/>
        <w:spacing w:line="360" w:lineRule="auto"/>
        <w:ind w:firstLine="480" w:firstLineChars="200"/>
        <w:rPr>
          <w:sz w:val="21"/>
          <w:szCs w:val="21"/>
          <w:rFonts w:ascii="宋体" w:hAnsi="宋体" w:eastAsia="宋体" w:cs="宋体" w:hint="eastAsia"/>
        </w:rPr>
      </w:pPr>
      <w:r>
        <w:rPr>
          <w:sz w:val="24"/>
          <w:szCs w:val="24"/>
          <w:rFonts w:ascii="宋体" w:hAnsi="宋体" w:eastAsia="宋体" w:cs="宋体" w:hint="eastAsia"/>
        </w:rPr>
        <w:t xml:space="preserve"> </w:t>
      </w:r>
      <w:r>
        <w:rPr>
          <w:sz w:val="21"/>
          <w:szCs w:val="21"/>
          <w:rFonts w:ascii="宋体" w:hAnsi="宋体" w:eastAsia="宋体" w:cs="宋体" w:hint="eastAsia"/>
        </w:rPr>
        <w:t>变压器油色谱在线监测系统可由现场监测主机独立完成，现场监测主机包含色谱数据采集处理模块、、油气分离模块、气体检测模块、气源模块等四个高集成模块和辅助单元组成。其中色谱数据采集处理模块包含数据采集单元、现场控制处理单元、通讯控制单元及61850规约通讯等；油气分离模块包含油样循环采集单元、油样定量单元、油样处理返回单元、脱气集气单元等；气体检测模块包含气体分离单元、恒温恒流控制单元、气体检测单元等；</w:t>
      </w:r>
      <w:r>
        <w:rPr>
          <w:color w:val="FF0000"/>
          <w:sz w:val="21"/>
          <w:szCs w:val="21"/>
          <w:rFonts w:ascii="宋体" w:hAnsi="宋体" w:eastAsia="宋体" w:cs="宋体" w:hint="eastAsia"/>
        </w:rPr>
        <w:t>气源模块包含产气单元、储气单元、净化单元、压力控制和报警单元</w:t>
      </w:r>
      <w:r>
        <w:rPr>
          <w:sz w:val="21"/>
          <w:szCs w:val="21"/>
          <w:rFonts w:ascii="宋体" w:hAnsi="宋体" w:eastAsia="宋体" w:cs="宋体" w:hint="eastAsia"/>
        </w:rPr>
        <w:t>等；辅助单元包括置于变压器接口、油管及通信及电源电缆等。</w:t>
      </w:r>
    </w:p>
    <w:p>
      <w:pPr>
        <w:pStyle w:val="5"/>
        <w:bidi w:val="0"/>
        <w:rPr>
          <w:lang w:val="en-US" w:eastAsia="zh-CN"/>
          <w:rFonts w:hint="eastAsia"/>
        </w:rPr>
      </w:pPr>
      <w:bookmarkStart w:id="20" w:name="_Toc22247"/>
      <w:bookmarkStart w:id="21" w:name="_Toc25961"/>
      <w:bookmarkStart w:id="22" w:name="_Toc1316"/>
      <w:bookmarkStart w:id="23" w:name="_Toc7024"/>
      <w:bookmarkEnd w:id="20"/>
      <w:bookmarkEnd w:id="21"/>
      <w:bookmarkEnd w:id="22"/>
      <w:bookmarkEnd w:id="23"/>
      <w:r>
        <w:rPr>
          <w:lang w:val="en-US" w:eastAsia="zh-CN"/>
          <w:rFonts w:hint="eastAsia"/>
        </w:rPr>
        <w:t>2.2功能原理</w:t>
      </w:r>
    </w:p>
    <w:p>
      <w:pPr>
        <w:pStyle w:val="9"/>
        <w:bidi w:val="0"/>
        <w:ind w:firstLine="480" w:firstLineChars="200"/>
        <w:rPr>
          <w:color w:val="FF0000"/>
          <w:rFonts w:hint="eastAsia"/>
        </w:rPr>
      </w:pPr>
      <w:r>
        <w:rPr>
          <w:rFonts w:hint="eastAsia"/>
        </w:rPr>
        <w:t>在主控单元控制下，各单元协同工作，按设定流程完成变压器油中溶解气体组份的在线监测和分析：</w:t>
      </w:r>
      <w:r>
        <w:rPr>
          <w:color w:val="FF0000"/>
          <w:rFonts w:hint="eastAsia"/>
        </w:rPr>
        <w:t>载气单元可自产载气；脱气单元负责油气分离；柱箱单元用于将气体各组份分离并产生谱图文件；主控单元控制油色谱采样的整体流程，分析谱图文件，计算各气体组份浓度，采用三比值法、大卫三角法，对变压器工况进行初步诊断，原始谱图文件、测量数据及诊断结果按IEC61850标准组织，上送后台软件。</w:t>
      </w:r>
    </w:p>
    <w:p>
      <w:pPr>
        <w:pStyle w:val="9"/>
        <w:bidi w:val="0"/>
      </w:pPr>
    </w:p>
    <w:p>
      <w:pPr>
        <w:pStyle w:val="9"/>
        <w:bidi w:val="0"/>
        <w:rPr>
          <w:rFonts w:hint="eastAsia"/>
        </w:rPr>
      </w:pPr>
      <w:bookmarkStart w:id="24" w:name="_Toc17174"/>
      <w:bookmarkEnd w:id="24"/>
      <w:bookmarkStart w:id="25" w:name="_Toc13742"/>
      <w:r>
        <w:rPr>
          <w:rFonts w:hint="eastAsia"/>
        </w:rPr>
        <w:t>主控单元可以连接调试软件，仿真后台软件功能，设置装置参数，控制装置的色谱分析流程。</w:t>
      </w:r>
    </w:p>
    <w:p>
      <w:pPr>
        <w:pStyle w:val="5"/>
        <w:bidi w:val="0"/>
        <w:rPr>
          <w:lang w:val="en-US" w:eastAsia="zh-CN"/>
          <w:rFonts w:hint="eastAsia"/>
        </w:rPr>
      </w:pPr>
      <w:bookmarkStart w:id="26" w:name="_Toc9614"/>
      <w:bookmarkEnd w:id="26"/>
      <w:r>
        <w:rPr>
          <w:lang w:val="en-US" w:eastAsia="zh-CN"/>
          <w:rFonts w:hint="eastAsia"/>
        </w:rPr>
        <w:t>2.3 配置原则</w:t>
      </w:r>
    </w:p>
    <w:p>
      <w:pPr>
        <w:ind w:firstLine="480" w:firstLineChars="20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110kV以上变电站目前按照国网技术规范标准配置为两台主变，按照油色谱在线监测的装置的原理来分析，标准配置为1台</w:t>
      </w:r>
      <w:r>
        <w:rPr>
          <w:sz w:val="24"/>
          <w:lang w:val="en-US" w:eastAsia="zh-CN"/>
          <w:szCs w:val="24"/>
          <w:rFonts w:ascii="宋体" w:hAnsi="宋体" w:cs="宋体" w:hint="eastAsia"/>
        </w:rPr>
        <w:t>变压器</w:t>
      </w:r>
      <w:r>
        <w:rPr>
          <w:sz w:val="24"/>
          <w:lang w:val="en-US" w:eastAsia="zh-CN"/>
          <w:szCs w:val="24"/>
          <w:rFonts w:ascii="宋体" w:hAnsi="宋体" w:eastAsia="宋体" w:cs="宋体" w:hint="eastAsia"/>
        </w:rPr>
        <w:t>配置一台油色谱在线监测装置。</w:t>
      </w:r>
    </w:p>
    <w:p>
      <w:pPr>
        <w:pStyle w:val="2"/>
        <w:ind w:firstLine="480" w:firstLineChars="200" w:left="0" w:leftChars="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500kV电压等级变电站，情况特殊，一</w:t>
      </w:r>
      <w:r>
        <w:rPr>
          <w:color w:val="FF0000"/>
          <w:sz w:val="24"/>
          <w:lang w:val="en-US" w:eastAsia="zh-CN"/>
          <w:szCs w:val="24"/>
          <w:rFonts w:ascii="宋体" w:hAnsi="宋体" w:eastAsia="宋体" w:cs="宋体" w:hint="eastAsia"/>
        </w:rPr>
        <w:t>般为一台主变每ABC一相</w:t>
      </w:r>
      <w:r>
        <w:rPr>
          <w:color w:val="FF0000"/>
          <w:sz w:val="24"/>
          <w:lang w:val="en-US" w:eastAsia="zh-CN"/>
          <w:szCs w:val="24"/>
          <w:rFonts w:ascii="宋体" w:hAnsi="宋体" w:cs="宋体" w:hint="eastAsia"/>
        </w:rPr>
        <w:t>配置</w:t>
      </w:r>
      <w:r>
        <w:rPr>
          <w:color w:val="FF0000"/>
          <w:sz w:val="24"/>
          <w:lang w:val="en-US" w:eastAsia="zh-CN"/>
          <w:szCs w:val="24"/>
          <w:rFonts w:ascii="宋体" w:hAnsi="宋体" w:eastAsia="宋体" w:cs="宋体" w:hint="eastAsia"/>
        </w:rPr>
        <w:t>一台变压器</w:t>
      </w:r>
      <w:r>
        <w:rPr>
          <w:sz w:val="24"/>
          <w:lang w:val="en-US" w:eastAsia="zh-CN"/>
          <w:szCs w:val="24"/>
          <w:rFonts w:ascii="宋体" w:hAnsi="宋体" w:eastAsia="宋体" w:cs="宋体" w:hint="eastAsia"/>
        </w:rPr>
        <w:t>，所以配置原则为一台变压器搭配一台油色谱，举例如果500kV两台主变，则配置原则为6台油色谱。</w:t>
      </w:r>
    </w:p>
    <w:p>
      <w:pPr>
        <w:pStyle w:val="2"/>
        <w:rPr>
          <w:lang w:val="en-US" w:eastAsia="zh-CN"/>
          <w:rFonts w:hint="default"/>
        </w:rPr>
      </w:pPr>
    </w:p>
    <w:p>
      <w:pPr>
        <w:pStyle w:val="2"/>
        <w:rPr>
          <w:lang w:val="en-US" w:eastAsia="zh-CN"/>
          <w:rFonts w:hint="default"/>
        </w:rPr>
      </w:pPr>
    </w:p>
    <w:p>
      <w:pPr>
        <w:rPr>
          <w:lang w:val="en-US" w:eastAsia="zh-CN"/>
          <w:rFonts w:hint="default"/>
        </w:rPr>
      </w:pPr>
      <w:r>
        <w:rPr>
          <w:lang w:val="en-US" w:eastAsia="zh-CN"/>
          <w:rFonts w:hint="default"/>
        </w:rPr>
        <w:drawing>
          <wp:inline distT="0" distB="0" distL="114300" distR="114300">
            <wp:extent cx="5270500" cy="2609215"/>
            <wp:effectExtent l="0" t="0" r="2540" b="12065"/>
            <wp:docPr id="3" name="图片 2" descr="43260944ecb608ee45c7c4802474c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3260944ecb608ee45c7c4802474c0f"/>
                    <pic:cNvPicPr/>
                  </pic:nvPicPr>
                  <pic:blipFill>
                    <a:blip r:embed="rId14"/>
                    <a:stretch>
                      <a:fillRect/>
                    </a:stretch>
                  </pic:blipFill>
                  <pic:spPr>
                    <a:xfrm>
                      <a:off x="0" y="0"/>
                      <a:ext cx="5270500" cy="2609215"/>
                    </a:xfrm>
                    <a:prstGeom prst="rect">
                      <a:avLst/>
                    </a:prstGeom>
                  </pic:spPr>
                </pic:pic>
              </a:graphicData>
            </a:graphic>
          </wp:inline>
        </w:drawing>
      </w:r>
    </w:p>
    <w:p>
      <w:pPr>
        <w:pStyle w:val="4"/>
        <w:bidi w:val="0"/>
        <w:rPr>
          <w:lang w:val="en-US" w:eastAsia="zh-CN"/>
          <w:rFonts w:hint="default"/>
        </w:rPr>
      </w:pPr>
      <w:bookmarkStart w:id="27" w:name="_Toc13985"/>
      <w:bookmarkStart w:id="28" w:name="_Toc15093"/>
      <w:bookmarkEnd w:id="25"/>
      <w:bookmarkEnd w:id="27"/>
      <w:bookmarkEnd w:id="28"/>
      <w:r>
        <w:rPr>
          <w:lang w:val="en-US" w:eastAsia="zh-CN"/>
          <w:rFonts w:hint="eastAsia"/>
        </w:rPr>
        <w:t>3.装置技术参数</w:t>
      </w:r>
    </w:p>
    <w:p>
      <w:pPr>
        <w:pStyle w:val="5"/>
      </w:pPr>
      <w:bookmarkStart w:id="29" w:name="_Toc5398"/>
      <w:bookmarkStart w:id="30" w:name="_Toc393354413"/>
      <w:bookmarkStart w:id="31" w:name="_Toc8150"/>
      <w:bookmarkEnd w:id="29"/>
      <w:bookmarkEnd w:id="30"/>
      <w:bookmarkEnd w:id="31"/>
      <w:r>
        <w:rPr>
          <w:rFonts w:hint="eastAsia"/>
        </w:rPr>
        <w:t>3.</w:t>
      </w:r>
      <w:r>
        <w:rPr>
          <w:lang w:val="en-US" w:eastAsia="zh-CN"/>
          <w:rFonts w:hint="eastAsia"/>
        </w:rPr>
        <w:t>1</w:t>
      </w:r>
      <w:r>
        <w:rPr>
          <w:rFonts w:hint="eastAsia"/>
        </w:rPr>
        <w:t xml:space="preserve"> 技术指标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Layout w:type="fixed"/>
      </w:tblPr>
      <w:tblGrid>
        <w:gridCol w:w="773.000000"/>
        <w:gridCol w:w="2633.000000"/>
        <w:gridCol w:w="1921.000000"/>
        <w:gridCol w:w="3186.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rHeight w:val="458" w:hRule="atLeast"/>
          <w:tblHeader/>
          <w:jc w:val="center"/>
        </w:trPr>
        <w:tc>
          <w:tcPr>
            <w:tcW w:w="77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序号</w:t>
            </w:r>
          </w:p>
        </w:tc>
        <w:tc>
          <w:tcPr>
            <w:tcW w:w="263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技术参数名称</w:t>
            </w:r>
          </w:p>
        </w:tc>
        <w:tc>
          <w:tcPr>
            <w:tcW w:w="5107" w:type="dxa"/>
            <w:gridSpan w:val="2"/>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提供值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rHeight w:val="446" w:hRule="atLeast"/>
          <w:tblHeader/>
          <w:jc w:val="center"/>
        </w:trPr>
        <w:tc>
          <w:tcPr>
            <w:tcW w:w="77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1</w:t>
            </w:r>
          </w:p>
        </w:tc>
        <w:tc>
          <w:tcPr>
            <w:tcW w:w="263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装置型号</w:t>
            </w:r>
          </w:p>
        </w:tc>
        <w:tc>
          <w:tcPr>
            <w:tcW w:w="5107" w:type="dxa"/>
            <w:gridSpan w:val="2"/>
            <w:vAlign w:val="center"/>
            <w:noWrap w:val="0"/>
          </w:tcPr>
          <w:p>
            <w:pPr>
              <w:jc w:val="center"/>
              <w:spacing w:line="360" w:lineRule="auto"/>
              <w:rPr>
                <w:lang w:val="en-US" w:eastAsia="zh-CN"/>
                <w:szCs w:val="21"/>
                <w:rFonts w:ascii="宋体" w:hAnsi="宋体" w:eastAsia="宋体" w:cs="宋体" w:hint="eastAsia"/>
              </w:rPr>
            </w:pPr>
            <w:r>
              <w:rPr>
                <w:lang w:val="en-US" w:eastAsia="zh-CN"/>
                <w:szCs w:val="21"/>
                <w:rFonts w:ascii="宋体" w:hAnsi="宋体" w:eastAsia="宋体" w:cs="宋体" w:hint="eastAsia"/>
              </w:rPr>
              <w:t>YSP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blHeader/>
          <w:jc w:val="center"/>
        </w:trPr>
        <w:tc>
          <w:tcPr>
            <w:tcW w:w="77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2</w:t>
            </w:r>
          </w:p>
        </w:tc>
        <w:tc>
          <w:tcPr>
            <w:tcW w:w="263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工作环境温度</w:t>
            </w:r>
          </w:p>
        </w:tc>
        <w:tc>
          <w:tcPr>
            <w:tcW w:w="5107" w:type="dxa"/>
            <w:gridSpan w:val="2"/>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-40℃～＋65℃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blHeader/>
          <w:jc w:val="center"/>
        </w:trPr>
        <w:tc>
          <w:tcPr>
            <w:tcW w:w="77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3</w:t>
            </w:r>
          </w:p>
        </w:tc>
        <w:tc>
          <w:tcPr>
            <w:tcW w:w="263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工作环境湿度</w:t>
            </w:r>
          </w:p>
        </w:tc>
        <w:tc>
          <w:tcPr>
            <w:tcW w:w="5107" w:type="dxa"/>
            <w:gridSpan w:val="2"/>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相对湿度5～95%（装置内部既无凝露，也不结冰）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blHeader/>
          <w:jc w:val="center"/>
        </w:trPr>
        <w:tc>
          <w:tcPr>
            <w:tcW w:w="77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4</w:t>
            </w:r>
          </w:p>
        </w:tc>
        <w:tc>
          <w:tcPr>
            <w:tcW w:w="263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大气压力</w:t>
            </w:r>
          </w:p>
        </w:tc>
        <w:tc>
          <w:tcPr>
            <w:tcW w:w="5107" w:type="dxa"/>
            <w:gridSpan w:val="2"/>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70kPa～110kPa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blHeader/>
          <w:jc w:val="center"/>
        </w:trPr>
        <w:tc>
          <w:tcPr>
            <w:tcW w:w="77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5</w:t>
            </w:r>
          </w:p>
        </w:tc>
        <w:tc>
          <w:tcPr>
            <w:tcW w:w="263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工作电源</w:t>
            </w:r>
          </w:p>
        </w:tc>
        <w:tc>
          <w:tcPr>
            <w:tcW w:w="5107" w:type="dxa"/>
            <w:gridSpan w:val="2"/>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AC 220 V±10% ， 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blHeader/>
          <w:jc w:val="center"/>
        </w:trPr>
        <w:tc>
          <w:tcPr>
            <w:tcW w:w="77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6</w:t>
            </w:r>
          </w:p>
        </w:tc>
        <w:tc>
          <w:tcPr>
            <w:tcW w:w="263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监测组份</w:t>
            </w:r>
          </w:p>
        </w:tc>
        <w:tc>
          <w:tcPr>
            <w:tcW w:w="5107" w:type="dxa"/>
            <w:gridSpan w:val="2"/>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H</w:t>
            </w:r>
            <w:r>
              <w:rPr>
                <w:vertAlign w:val="subscript"/>
                <w:szCs w:val="21"/>
                <w:rFonts w:ascii="宋体" w:hAnsi="宋体" w:eastAsia="宋体" w:cs="宋体" w:hint="eastAsia"/>
              </w:rPr>
              <w:t>2</w:t>
            </w:r>
            <w:r>
              <w:rPr>
                <w:szCs w:val="21"/>
                <w:rFonts w:ascii="宋体" w:hAnsi="宋体" w:eastAsia="宋体" w:cs="宋体" w:hint="eastAsia"/>
              </w:rPr>
              <w:t>、 CO、 CO</w:t>
            </w:r>
            <w:r>
              <w:rPr>
                <w:vertAlign w:val="subscript"/>
                <w:szCs w:val="21"/>
                <w:rFonts w:ascii="宋体" w:hAnsi="宋体" w:eastAsia="宋体" w:cs="宋体" w:hint="eastAsia"/>
              </w:rPr>
              <w:t>2</w:t>
            </w:r>
            <w:r>
              <w:rPr>
                <w:szCs w:val="21"/>
                <w:rFonts w:ascii="宋体" w:hAnsi="宋体" w:eastAsia="宋体" w:cs="宋体" w:hint="eastAsia"/>
              </w:rPr>
              <w:t>、 CH</w:t>
            </w:r>
            <w:r>
              <w:rPr>
                <w:vertAlign w:val="subscript"/>
                <w:szCs w:val="21"/>
                <w:rFonts w:ascii="宋体" w:hAnsi="宋体" w:eastAsia="宋体" w:cs="宋体" w:hint="eastAsia"/>
              </w:rPr>
              <w:t>4</w:t>
            </w:r>
            <w:r>
              <w:rPr>
                <w:szCs w:val="21"/>
                <w:rFonts w:ascii="宋体" w:hAnsi="宋体" w:eastAsia="宋体" w:cs="宋体" w:hint="eastAsia"/>
              </w:rPr>
              <w:t>、 C</w:t>
            </w:r>
            <w:r>
              <w:rPr>
                <w:vertAlign w:val="subscript"/>
                <w:szCs w:val="21"/>
                <w:rFonts w:ascii="宋体" w:hAnsi="宋体" w:eastAsia="宋体" w:cs="宋体" w:hint="eastAsia"/>
              </w:rPr>
              <w:t>2</w:t>
            </w:r>
            <w:r>
              <w:rPr>
                <w:szCs w:val="21"/>
                <w:rFonts w:ascii="宋体" w:hAnsi="宋体" w:eastAsia="宋体" w:cs="宋体" w:hint="eastAsia"/>
              </w:rPr>
              <w:t>H</w:t>
            </w:r>
            <w:r>
              <w:rPr>
                <w:vertAlign w:val="subscript"/>
                <w:szCs w:val="21"/>
                <w:rFonts w:ascii="宋体" w:hAnsi="宋体" w:eastAsia="宋体" w:cs="宋体" w:hint="eastAsia"/>
              </w:rPr>
              <w:t>4</w:t>
            </w:r>
            <w:r>
              <w:rPr>
                <w:szCs w:val="21"/>
                <w:rFonts w:ascii="宋体" w:hAnsi="宋体" w:eastAsia="宋体" w:cs="宋体" w:hint="eastAsia"/>
              </w:rPr>
              <w:t>、 C</w:t>
            </w:r>
            <w:r>
              <w:rPr>
                <w:vertAlign w:val="subscript"/>
                <w:szCs w:val="21"/>
                <w:rFonts w:ascii="宋体" w:hAnsi="宋体" w:eastAsia="宋体" w:cs="宋体" w:hint="eastAsia"/>
              </w:rPr>
              <w:t>2</w:t>
            </w:r>
            <w:r>
              <w:rPr>
                <w:szCs w:val="21"/>
                <w:rFonts w:ascii="宋体" w:hAnsi="宋体" w:eastAsia="宋体" w:cs="宋体" w:hint="eastAsia"/>
              </w:rPr>
              <w:t>H</w:t>
            </w:r>
            <w:r>
              <w:rPr>
                <w:vertAlign w:val="subscript"/>
                <w:szCs w:val="21"/>
                <w:rFonts w:ascii="宋体" w:hAnsi="宋体" w:eastAsia="宋体" w:cs="宋体" w:hint="eastAsia"/>
              </w:rPr>
              <w:t>2</w:t>
            </w:r>
            <w:r>
              <w:rPr>
                <w:szCs w:val="21"/>
                <w:rFonts w:ascii="宋体" w:hAnsi="宋体" w:eastAsia="宋体" w:cs="宋体" w:hint="eastAsia"/>
              </w:rPr>
              <w:t>、 C</w:t>
            </w:r>
            <w:r>
              <w:rPr>
                <w:vertAlign w:val="subscript"/>
                <w:szCs w:val="21"/>
                <w:rFonts w:ascii="宋体" w:hAnsi="宋体" w:eastAsia="宋体" w:cs="宋体" w:hint="eastAsia"/>
              </w:rPr>
              <w:t>2</w:t>
            </w:r>
            <w:r>
              <w:rPr>
                <w:szCs w:val="21"/>
                <w:rFonts w:ascii="宋体" w:hAnsi="宋体" w:eastAsia="宋体" w:cs="宋体" w:hint="eastAsia"/>
              </w:rPr>
              <w:t>H</w:t>
            </w:r>
            <w:r>
              <w:rPr>
                <w:vertAlign w:val="subscript"/>
                <w:szCs w:val="21"/>
                <w:rFonts w:ascii="宋体" w:hAnsi="宋体" w:eastAsia="宋体" w:cs="宋体" w:hint="eastAsia"/>
              </w:rPr>
              <w:t>6</w:t>
            </w:r>
            <w:r>
              <w:rPr>
                <w:szCs w:val="21"/>
                <w:rFonts w:ascii="宋体" w:hAnsi="宋体" w:eastAsia="宋体" w:cs="宋体" w:hint="eastAsia"/>
              </w:rPr>
              <w:t>等7种气体组份、总烃、相对增长率及绝对增长速度； 油中微水监测可选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rHeight w:val="578" w:hRule="atLeast"/>
          <w:tblHeader/>
          <w:jc w:val="center"/>
        </w:trPr>
        <w:tc>
          <w:tcPr>
            <w:tcW w:w="77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7</w:t>
            </w:r>
          </w:p>
        </w:tc>
        <w:tc>
          <w:tcPr>
            <w:tcW w:w="263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分析诊断功能</w:t>
            </w:r>
          </w:p>
        </w:tc>
        <w:tc>
          <w:tcPr>
            <w:tcW w:w="5107" w:type="dxa"/>
            <w:gridSpan w:val="2"/>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通过改良三比值法、大卫三角法对监测数据进行分析、诊断，并提供原始谱图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blHeader/>
          <w:jc w:val="center"/>
        </w:trPr>
        <w:tc>
          <w:tcPr>
            <w:tcW w:w="77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8</w:t>
            </w:r>
          </w:p>
        </w:tc>
        <w:tc>
          <w:tcPr>
            <w:tcW w:w="263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最小检测周期</w:t>
            </w:r>
          </w:p>
        </w:tc>
        <w:tc>
          <w:tcPr>
            <w:tcW w:w="5107" w:type="dxa"/>
            <w:gridSpan w:val="2"/>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120分钟，可由用户自行设定，默认4小时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blHeader/>
          <w:jc w:val="center"/>
        </w:trPr>
        <w:tc>
          <w:tcPr>
            <w:tcW w:w="77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9</w:t>
            </w:r>
          </w:p>
        </w:tc>
        <w:tc>
          <w:tcPr>
            <w:tcW w:w="263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取样方式</w:t>
            </w:r>
          </w:p>
        </w:tc>
        <w:tc>
          <w:tcPr>
            <w:tcW w:w="5107" w:type="dxa"/>
            <w:gridSpan w:val="2"/>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循环取样，真实地反映变压器油中气体真实情况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blHeader/>
          <w:jc w:val="center"/>
        </w:trPr>
        <w:tc>
          <w:tcPr>
            <w:tcW w:w="77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10</w:t>
            </w:r>
          </w:p>
        </w:tc>
        <w:tc>
          <w:tcPr>
            <w:tcW w:w="263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数据存储周期</w:t>
            </w:r>
          </w:p>
        </w:tc>
        <w:tc>
          <w:tcPr>
            <w:tcW w:w="5107" w:type="dxa"/>
            <w:gridSpan w:val="2"/>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 1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blHeader/>
          <w:jc w:val="center"/>
        </w:trPr>
        <w:tc>
          <w:tcPr>
            <w:tcW w:w="77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11</w:t>
            </w:r>
          </w:p>
        </w:tc>
        <w:tc>
          <w:tcPr>
            <w:tcW w:w="263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配备载气量</w:t>
            </w:r>
          </w:p>
        </w:tc>
        <w:tc>
          <w:tcPr>
            <w:tcW w:w="5107" w:type="dxa"/>
            <w:gridSpan w:val="2"/>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气源发生器（免维护）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blHeader/>
          <w:jc w:val="center"/>
        </w:trPr>
        <w:tc>
          <w:tcPr>
            <w:tcW w:w="77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12</w:t>
            </w:r>
          </w:p>
        </w:tc>
        <w:tc>
          <w:tcPr>
            <w:tcW w:w="263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监测气体</w:t>
            </w:r>
          </w:p>
        </w:tc>
        <w:tc>
          <w:tcPr>
            <w:tcW w:w="1921"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测量范围</w:t>
            </w:r>
          </w:p>
        </w:tc>
        <w:tc>
          <w:tcPr>
            <w:tcW w:w="3186"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最低检测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blHeader/>
          <w:jc w:val="center"/>
        </w:trPr>
        <w:tc>
          <w:tcPr>
            <w:tcW w:w="77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1）</w:t>
            </w:r>
          </w:p>
        </w:tc>
        <w:tc>
          <w:tcPr>
            <w:tcW w:w="2633" w:type="dxa"/>
            <w:vAlign w:val="center"/>
            <w:noWrap w:val="0"/>
          </w:tcPr>
          <w:p>
            <w:pPr>
              <w:jc w:val="center"/>
              <w:spacing w:line="360" w:lineRule="auto"/>
              <w:rPr>
                <w:lang w:val="en-US" w:eastAsia="zh-CN"/>
                <w:szCs w:val="21"/>
                <w:rFonts w:ascii="宋体" w:hAnsi="宋体" w:eastAsia="宋体" w:cs="宋体" w:hint="default"/>
              </w:rPr>
            </w:pPr>
            <w:r>
              <w:rPr>
                <w:szCs w:val="21"/>
                <w:rFonts w:ascii="宋体" w:hAnsi="宋体" w:eastAsia="宋体" w:cs="宋体" w:hint="eastAsia"/>
              </w:rPr>
              <w:t>H</w:t>
            </w:r>
            <w:r>
              <w:rPr>
                <w:vertAlign w:val="subscript"/>
                <w:szCs w:val="21"/>
                <w:rFonts w:ascii="宋体" w:hAnsi="宋体" w:eastAsia="宋体" w:cs="宋体" w:hint="eastAsia"/>
              </w:rPr>
              <w:t>2</w:t>
            </w:r>
            <w:r>
              <w:rPr>
                <w:vertAlign w:val="subscript"/>
                <w:lang w:val="en-US" w:eastAsia="zh-CN"/>
                <w:szCs w:val="21"/>
                <w:rFonts w:ascii="宋体" w:hAnsi="宋体" w:cs="宋体" w:hint="eastAsia"/>
              </w:rPr>
              <w:t xml:space="preserve"> </w:t>
            </w:r>
          </w:p>
        </w:tc>
        <w:tc>
          <w:tcPr>
            <w:tcW w:w="1921"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1 ～ 2000 ppm</w:t>
            </w:r>
          </w:p>
        </w:tc>
        <w:tc>
          <w:tcPr>
            <w:tcW w:w="3186"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1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blHeader/>
          <w:jc w:val="center"/>
        </w:trPr>
        <w:tc>
          <w:tcPr>
            <w:tcW w:w="77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2）</w:t>
            </w:r>
          </w:p>
        </w:tc>
        <w:tc>
          <w:tcPr>
            <w:tcW w:w="263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CO、 CO</w:t>
            </w:r>
            <w:r>
              <w:rPr>
                <w:vertAlign w:val="subscript"/>
                <w:szCs w:val="21"/>
                <w:rFonts w:ascii="宋体" w:hAnsi="宋体" w:eastAsia="宋体" w:cs="宋体" w:hint="eastAsia"/>
              </w:rPr>
              <w:t>2</w:t>
            </w:r>
          </w:p>
        </w:tc>
        <w:tc>
          <w:tcPr>
            <w:tcW w:w="1921"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1 ～ 15000 ppm</w:t>
            </w:r>
          </w:p>
        </w:tc>
        <w:tc>
          <w:tcPr>
            <w:tcW w:w="3186"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5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blHeader/>
          <w:jc w:val="center"/>
        </w:trPr>
        <w:tc>
          <w:tcPr>
            <w:tcW w:w="77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3）</w:t>
            </w:r>
          </w:p>
        </w:tc>
        <w:tc>
          <w:tcPr>
            <w:tcW w:w="263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CH</w:t>
            </w:r>
            <w:r>
              <w:rPr>
                <w:vertAlign w:val="subscript"/>
                <w:szCs w:val="21"/>
                <w:rFonts w:ascii="宋体" w:hAnsi="宋体" w:eastAsia="宋体" w:cs="宋体" w:hint="eastAsia"/>
              </w:rPr>
              <w:t>4</w:t>
            </w:r>
          </w:p>
        </w:tc>
        <w:tc>
          <w:tcPr>
            <w:tcW w:w="1921"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0.3 ～ 2000 ppm</w:t>
            </w:r>
          </w:p>
        </w:tc>
        <w:tc>
          <w:tcPr>
            <w:tcW w:w="3186"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0.3-0.5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blHeader/>
          <w:jc w:val="center"/>
        </w:trPr>
        <w:tc>
          <w:tcPr>
            <w:tcW w:w="77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4）</w:t>
            </w:r>
          </w:p>
        </w:tc>
        <w:tc>
          <w:tcPr>
            <w:tcW w:w="263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C</w:t>
            </w:r>
            <w:r>
              <w:rPr>
                <w:vertAlign w:val="subscript"/>
                <w:szCs w:val="21"/>
                <w:rFonts w:ascii="宋体" w:hAnsi="宋体" w:eastAsia="宋体" w:cs="宋体" w:hint="eastAsia"/>
              </w:rPr>
              <w:t>2</w:t>
            </w:r>
            <w:r>
              <w:rPr>
                <w:szCs w:val="21"/>
                <w:rFonts w:ascii="宋体" w:hAnsi="宋体" w:eastAsia="宋体" w:cs="宋体" w:hint="eastAsia"/>
              </w:rPr>
              <w:t>H</w:t>
            </w:r>
            <w:r>
              <w:rPr>
                <w:vertAlign w:val="subscript"/>
                <w:szCs w:val="21"/>
                <w:rFonts w:ascii="宋体" w:hAnsi="宋体" w:eastAsia="宋体" w:cs="宋体" w:hint="eastAsia"/>
              </w:rPr>
              <w:t>4</w:t>
            </w:r>
          </w:p>
        </w:tc>
        <w:tc>
          <w:tcPr>
            <w:tcW w:w="1921"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0.3 ～ 2000 ppm</w:t>
            </w:r>
          </w:p>
        </w:tc>
        <w:tc>
          <w:tcPr>
            <w:tcW w:w="3186"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0.3-0.5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blHeader/>
          <w:jc w:val="center"/>
        </w:trPr>
        <w:tc>
          <w:tcPr>
            <w:tcW w:w="77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5）</w:t>
            </w:r>
          </w:p>
        </w:tc>
        <w:tc>
          <w:tcPr>
            <w:tcW w:w="263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C</w:t>
            </w:r>
            <w:r>
              <w:rPr>
                <w:vertAlign w:val="subscript"/>
                <w:szCs w:val="21"/>
                <w:rFonts w:ascii="宋体" w:hAnsi="宋体" w:eastAsia="宋体" w:cs="宋体" w:hint="eastAsia"/>
              </w:rPr>
              <w:t>2</w:t>
            </w:r>
            <w:r>
              <w:rPr>
                <w:szCs w:val="21"/>
                <w:rFonts w:ascii="宋体" w:hAnsi="宋体" w:eastAsia="宋体" w:cs="宋体" w:hint="eastAsia"/>
              </w:rPr>
              <w:t>H</w:t>
            </w:r>
            <w:r>
              <w:rPr>
                <w:vertAlign w:val="subscript"/>
                <w:szCs w:val="21"/>
                <w:rFonts w:ascii="宋体" w:hAnsi="宋体" w:eastAsia="宋体" w:cs="宋体" w:hint="eastAsia"/>
              </w:rPr>
              <w:t>6</w:t>
            </w:r>
          </w:p>
        </w:tc>
        <w:tc>
          <w:tcPr>
            <w:tcW w:w="1921"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0.3 ～ 2000 ppm</w:t>
            </w:r>
          </w:p>
        </w:tc>
        <w:tc>
          <w:tcPr>
            <w:tcW w:w="3186"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0.3 -0.5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blHeader/>
          <w:jc w:val="center"/>
        </w:trPr>
        <w:tc>
          <w:tcPr>
            <w:tcW w:w="77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6）</w:t>
            </w:r>
          </w:p>
        </w:tc>
        <w:tc>
          <w:tcPr>
            <w:tcW w:w="263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C</w:t>
            </w:r>
            <w:r>
              <w:rPr>
                <w:vertAlign w:val="subscript"/>
                <w:szCs w:val="21"/>
                <w:rFonts w:ascii="宋体" w:hAnsi="宋体" w:eastAsia="宋体" w:cs="宋体" w:hint="eastAsia"/>
              </w:rPr>
              <w:t>2</w:t>
            </w:r>
            <w:r>
              <w:rPr>
                <w:szCs w:val="21"/>
                <w:rFonts w:ascii="宋体" w:hAnsi="宋体" w:eastAsia="宋体" w:cs="宋体" w:hint="eastAsia"/>
              </w:rPr>
              <w:t>H</w:t>
            </w:r>
            <w:r>
              <w:rPr>
                <w:vertAlign w:val="subscript"/>
                <w:szCs w:val="21"/>
                <w:rFonts w:ascii="宋体" w:hAnsi="宋体" w:eastAsia="宋体" w:cs="宋体" w:hint="eastAsia"/>
              </w:rPr>
              <w:t>2</w:t>
            </w:r>
          </w:p>
        </w:tc>
        <w:tc>
          <w:tcPr>
            <w:tcW w:w="1921"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0.3 ～ 1000 ppm</w:t>
            </w:r>
          </w:p>
        </w:tc>
        <w:tc>
          <w:tcPr>
            <w:tcW w:w="3186"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0.3-0.5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blHeader/>
          <w:jc w:val="center"/>
        </w:trPr>
        <w:tc>
          <w:tcPr>
            <w:tcW w:w="77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7）</w:t>
            </w:r>
          </w:p>
        </w:tc>
        <w:tc>
          <w:tcPr>
            <w:tcW w:w="263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H</w:t>
            </w:r>
            <w:r>
              <w:rPr>
                <w:vertAlign w:val="subscript"/>
                <w:szCs w:val="21"/>
                <w:rFonts w:ascii="宋体" w:hAnsi="宋体" w:eastAsia="宋体" w:cs="宋体" w:hint="eastAsia"/>
              </w:rPr>
              <w:t>2</w:t>
            </w:r>
            <w:r>
              <w:rPr>
                <w:szCs w:val="21"/>
                <w:rFonts w:ascii="宋体" w:hAnsi="宋体" w:eastAsia="宋体" w:cs="宋体" w:hint="eastAsia"/>
              </w:rPr>
              <w:t>O（可选）</w:t>
            </w:r>
          </w:p>
        </w:tc>
        <w:tc>
          <w:tcPr>
            <w:tcW w:w="5107" w:type="dxa"/>
            <w:gridSpan w:val="2"/>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1 ～ 800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blHeader/>
          <w:jc w:val="center"/>
        </w:trPr>
        <w:tc>
          <w:tcPr>
            <w:tcW w:w="77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8）</w:t>
            </w:r>
          </w:p>
        </w:tc>
        <w:tc>
          <w:tcPr>
            <w:tcW w:w="2633" w:type="dxa"/>
            <w:vAlign w:val="center"/>
            <w:noWrap w:val="0"/>
          </w:tcPr>
          <w:p>
            <w:pPr>
              <w:jc w:val="center"/>
              <w:spacing w:line="360" w:lineRule="auto"/>
              <w:rPr>
                <w:lang w:eastAsia="zh-CN"/>
                <w:szCs w:val="21"/>
                <w:rFonts w:ascii="宋体" w:hAnsi="宋体" w:eastAsia="宋体" w:cs="宋体" w:hint="eastAsia"/>
              </w:rPr>
            </w:pPr>
            <w:r>
              <w:rPr>
                <w:szCs w:val="21"/>
                <w:rFonts w:ascii="宋体" w:hAnsi="宋体" w:eastAsia="宋体" w:cs="宋体" w:hint="eastAsia"/>
              </w:rPr>
              <w:t>总烃</w:t>
            </w:r>
            <w:r>
              <w:rPr>
                <w:lang w:eastAsia="zh-CN"/>
                <w:szCs w:val="21"/>
                <w:rFonts w:ascii="宋体" w:hAnsi="宋体" w:eastAsia="宋体" w:cs="宋体" w:hint="eastAsia"/>
              </w:rPr>
              <w:t>（</w:t>
            </w:r>
            <w:r>
              <w:rPr>
                <w:lang w:val="en-US" w:eastAsia="zh-CN"/>
                <w:szCs w:val="21"/>
                <w:rFonts w:ascii="宋体" w:hAnsi="宋体" w:eastAsia="宋体" w:cs="宋体" w:hint="eastAsia"/>
              </w:rPr>
              <w:t>四种烃类气体和</w:t>
            </w:r>
            <w:r>
              <w:rPr>
                <w:lang w:eastAsia="zh-CN"/>
                <w:szCs w:val="21"/>
                <w:rFonts w:ascii="宋体" w:hAnsi="宋体" w:eastAsia="宋体" w:cs="宋体" w:hint="eastAsia"/>
              </w:rPr>
              <w:t>）</w:t>
            </w:r>
          </w:p>
        </w:tc>
        <w:tc>
          <w:tcPr>
            <w:tcW w:w="5107" w:type="dxa"/>
            <w:gridSpan w:val="2"/>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1 ～ 8000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blHeader/>
          <w:jc w:val="center"/>
        </w:trPr>
        <w:tc>
          <w:tcPr>
            <w:tcW w:w="77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13</w:t>
            </w:r>
          </w:p>
        </w:tc>
        <w:tc>
          <w:tcPr>
            <w:tcW w:w="263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稳定性（测量偏差）</w:t>
            </w:r>
          </w:p>
        </w:tc>
        <w:tc>
          <w:tcPr>
            <w:tcW w:w="5107" w:type="dxa"/>
            <w:gridSpan w:val="2"/>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同一试验条件下对同一油样的监测结果偏差不超过 30%（中等浓度）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blHeader/>
          <w:jc w:val="center"/>
        </w:trPr>
        <w:tc>
          <w:tcPr>
            <w:tcW w:w="77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14</w:t>
            </w:r>
          </w:p>
        </w:tc>
        <w:tc>
          <w:tcPr>
            <w:tcW w:w="263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静电放电抗扰度</w:t>
            </w:r>
          </w:p>
        </w:tc>
        <w:tc>
          <w:tcPr>
            <w:tcW w:w="5107" w:type="dxa"/>
            <w:gridSpan w:val="2"/>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4 级，± 8kV－± 15kV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blHeader/>
          <w:jc w:val="center"/>
        </w:trPr>
        <w:tc>
          <w:tcPr>
            <w:tcW w:w="77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15</w:t>
            </w:r>
          </w:p>
        </w:tc>
        <w:tc>
          <w:tcPr>
            <w:tcW w:w="263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电快速瞬变脉冲群抗扰度</w:t>
            </w:r>
          </w:p>
        </w:tc>
        <w:tc>
          <w:tcPr>
            <w:tcW w:w="5107" w:type="dxa"/>
            <w:gridSpan w:val="2"/>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4 级，± 4kV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blHeader/>
          <w:jc w:val="center"/>
        </w:trPr>
        <w:tc>
          <w:tcPr>
            <w:tcW w:w="77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16</w:t>
            </w:r>
          </w:p>
        </w:tc>
        <w:tc>
          <w:tcPr>
            <w:tcW w:w="2633" w:type="dxa"/>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浪涌（冲击）抗扰度</w:t>
            </w:r>
          </w:p>
        </w:tc>
        <w:tc>
          <w:tcPr>
            <w:tcW w:w="5107" w:type="dxa"/>
            <w:gridSpan w:val="2"/>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4 级，± 4kV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blHeader/>
          <w:jc w:val="center"/>
        </w:trPr>
        <w:tc>
          <w:tcPr>
            <w:tcW w:w="773" w:type="dxa"/>
            <w:vMerge w:val="restart"/>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17</w:t>
            </w:r>
          </w:p>
        </w:tc>
        <w:tc>
          <w:tcPr>
            <w:tcW w:w="2633" w:type="dxa"/>
            <w:vMerge w:val="restart"/>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耐地震能力：地震波为正弦波</w:t>
            </w:r>
          </w:p>
          <w:p>
            <w:pPr>
              <w:jc w:val="center"/>
              <w:spacing w:line="360" w:lineRule="auto"/>
              <w:rPr>
                <w:szCs w:val="21"/>
                <w:rFonts w:ascii="宋体" w:hAnsi="宋体" w:eastAsia="宋体" w:cs="宋体" w:hint="eastAsia"/>
              </w:rPr>
            </w:pPr>
            <w:r>
              <w:rPr>
                <w:szCs w:val="21"/>
                <w:rFonts w:ascii="宋体" w:hAnsi="宋体" w:eastAsia="宋体" w:cs="宋体" w:hint="eastAsia"/>
              </w:rPr>
              <w:t>持续时间：三个周波，安全系数 1.67</w:t>
            </w:r>
          </w:p>
        </w:tc>
        <w:tc>
          <w:tcPr>
            <w:tcW w:w="5107" w:type="dxa"/>
            <w:gridSpan w:val="2"/>
            <w:vAlign w:val="center"/>
            <w:noWrap w:val="0"/>
          </w:tcPr>
          <w:p>
            <w:pPr>
              <w:jc w:val="center"/>
              <w:spacing w:line="360" w:lineRule="auto"/>
              <w:rPr>
                <w:szCs w:val="21"/>
                <w:rFonts w:ascii="宋体" w:hAnsi="宋体" w:eastAsia="宋体" w:cs="宋体" w:hint="eastAsia"/>
              </w:rPr>
            </w:pPr>
            <w:r>
              <w:rPr>
                <w:szCs w:val="21"/>
                <w:rFonts w:ascii="宋体" w:hAnsi="宋体" w:eastAsia="宋体" w:cs="宋体" w:hint="eastAsia"/>
              </w:rPr>
              <w:t>地震烈度 9 度地区：</w:t>
            </w:r>
          </w:p>
          <w:p>
            <w:pPr>
              <w:jc w:val="center"/>
              <w:spacing w:line="360" w:lineRule="auto"/>
              <w:rPr>
                <w:szCs w:val="21"/>
                <w:rFonts w:ascii="宋体" w:hAnsi="宋体" w:eastAsia="宋体" w:cs="宋体" w:hint="eastAsia"/>
              </w:rPr>
            </w:pPr>
            <w:r>
              <w:rPr>
                <w:szCs w:val="21"/>
                <w:rFonts w:ascii="宋体" w:hAnsi="宋体" w:eastAsia="宋体" w:cs="宋体" w:hint="eastAsia"/>
              </w:rPr>
              <w:t>地面水平加速度 0.4g ，地面垂直加速度 0.2g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blHeader/>
          <w:jc w:val="center"/>
        </w:trPr>
        <w:tc>
          <w:tcPr>
            <w:tcW w:w="773" w:type="dxa"/>
            <w:vMerge w:val="continue"/>
            <w:vAlign w:val="center"/>
            <w:noWrap w:val="0"/>
          </w:tcPr>
          <w:p>
            <w:pPr>
              <w:spacing w:line="360" w:lineRule="auto"/>
              <w:rPr>
                <w:szCs w:val="21"/>
                <w:rFonts w:ascii="宋体" w:hAnsi="宋体" w:eastAsia="宋体" w:cs="宋体" w:hint="eastAsia"/>
              </w:rPr>
            </w:pPr>
          </w:p>
        </w:tc>
        <w:tc>
          <w:tcPr>
            <w:tcW w:w="2633" w:type="dxa"/>
            <w:vMerge w:val="continue"/>
            <w:vAlign w:val="center"/>
            <w:noWrap w:val="0"/>
          </w:tcPr>
          <w:p>
            <w:pPr>
              <w:spacing w:line="360" w:lineRule="auto"/>
              <w:rPr>
                <w:szCs w:val="21"/>
                <w:rFonts w:ascii="宋体" w:hAnsi="宋体" w:eastAsia="宋体" w:cs="宋体" w:hint="eastAsia"/>
              </w:rPr>
            </w:pPr>
          </w:p>
        </w:tc>
        <w:tc>
          <w:tcPr>
            <w:tcW w:w="5107" w:type="dxa"/>
            <w:gridSpan w:val="2"/>
            <w:vAlign w:val="center"/>
            <w:noWrap w:val="0"/>
          </w:tcPr>
          <w:p>
            <w:pPr>
              <w:spacing w:line="360" w:lineRule="auto"/>
              <w:rPr>
                <w:szCs w:val="21"/>
                <w:rFonts w:ascii="宋体" w:hAnsi="宋体" w:eastAsia="宋体" w:cs="宋体" w:hint="eastAsia"/>
              </w:rPr>
            </w:pPr>
            <w:r>
              <w:rPr>
                <w:szCs w:val="21"/>
                <w:rFonts w:ascii="宋体" w:hAnsi="宋体" w:eastAsia="宋体" w:cs="宋体" w:hint="eastAsia"/>
              </w:rPr>
              <w:t>地震烈度 8 度地区：</w:t>
            </w:r>
          </w:p>
          <w:p>
            <w:pPr>
              <w:spacing w:line="360" w:lineRule="auto"/>
              <w:rPr>
                <w:szCs w:val="21"/>
                <w:rFonts w:ascii="宋体" w:hAnsi="宋体" w:eastAsia="宋体" w:cs="宋体" w:hint="eastAsia"/>
              </w:rPr>
            </w:pPr>
            <w:r>
              <w:rPr>
                <w:szCs w:val="21"/>
                <w:rFonts w:ascii="宋体" w:hAnsi="宋体" w:eastAsia="宋体" w:cs="宋体" w:hint="eastAsia"/>
              </w:rPr>
              <w:t>地面水平加速度 0.25g ，地面垂直加速度 0.125g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blHeader/>
          <w:jc w:val="center"/>
        </w:trPr>
        <w:tc>
          <w:tcPr>
            <w:tcW w:w="773" w:type="dxa"/>
            <w:vMerge w:val="continue"/>
            <w:vAlign w:val="center"/>
            <w:noWrap w:val="0"/>
          </w:tcPr>
          <w:p>
            <w:pPr>
              <w:spacing w:line="360" w:lineRule="auto"/>
              <w:rPr>
                <w:szCs w:val="21"/>
                <w:rFonts w:ascii="宋体" w:hAnsi="宋体" w:eastAsia="宋体" w:cs="宋体" w:hint="eastAsia"/>
              </w:rPr>
            </w:pPr>
          </w:p>
        </w:tc>
        <w:tc>
          <w:tcPr>
            <w:tcW w:w="2633" w:type="dxa"/>
            <w:vMerge w:val="continue"/>
            <w:vAlign w:val="center"/>
            <w:noWrap w:val="0"/>
          </w:tcPr>
          <w:p>
            <w:pPr>
              <w:spacing w:line="360" w:lineRule="auto"/>
              <w:rPr>
                <w:szCs w:val="21"/>
                <w:rFonts w:ascii="宋体" w:hAnsi="宋体" w:eastAsia="宋体" w:cs="宋体" w:hint="eastAsia"/>
              </w:rPr>
            </w:pPr>
          </w:p>
        </w:tc>
        <w:tc>
          <w:tcPr>
            <w:tcW w:w="5107" w:type="dxa"/>
            <w:gridSpan w:val="2"/>
            <w:vAlign w:val="center"/>
            <w:noWrap w:val="0"/>
          </w:tcPr>
          <w:p>
            <w:pPr>
              <w:spacing w:line="360" w:lineRule="auto"/>
              <w:rPr>
                <w:szCs w:val="21"/>
                <w:rFonts w:ascii="宋体" w:hAnsi="宋体" w:eastAsia="宋体" w:cs="宋体" w:hint="eastAsia"/>
              </w:rPr>
            </w:pPr>
            <w:r>
              <w:rPr>
                <w:szCs w:val="21"/>
                <w:rFonts w:ascii="宋体" w:hAnsi="宋体" w:eastAsia="宋体" w:cs="宋体" w:hint="eastAsia"/>
              </w:rPr>
              <w:t>地震烈度 7 度地区：</w:t>
            </w:r>
          </w:p>
          <w:p>
            <w:pPr>
              <w:spacing w:line="360" w:lineRule="auto"/>
              <w:rPr>
                <w:szCs w:val="21"/>
                <w:rFonts w:ascii="宋体" w:hAnsi="宋体" w:eastAsia="宋体" w:cs="宋体" w:hint="eastAsia"/>
              </w:rPr>
            </w:pPr>
            <w:r>
              <w:rPr>
                <w:szCs w:val="21"/>
                <w:rFonts w:ascii="宋体" w:hAnsi="宋体" w:eastAsia="宋体" w:cs="宋体" w:hint="eastAsia"/>
              </w:rPr>
              <w:t>地面水平加速度 0.2g ，地面垂直加速度 0.1g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blHeader/>
          <w:jc w:val="center"/>
        </w:trPr>
        <w:tc>
          <w:tcPr>
            <w:tcW w:w="773" w:type="dxa"/>
            <w:vAlign w:val="center"/>
            <w:noWrap w:val="0"/>
          </w:tcPr>
          <w:p>
            <w:pPr>
              <w:spacing w:line="360" w:lineRule="auto"/>
              <w:rPr>
                <w:szCs w:val="21"/>
                <w:rFonts w:ascii="宋体" w:hAnsi="宋体" w:eastAsia="宋体" w:cs="宋体" w:hint="eastAsia"/>
              </w:rPr>
            </w:pPr>
            <w:r>
              <w:rPr>
                <w:szCs w:val="21"/>
                <w:rFonts w:ascii="宋体" w:hAnsi="宋体" w:eastAsia="宋体" w:cs="宋体" w:hint="eastAsia"/>
              </w:rPr>
              <w:t>18</w:t>
            </w:r>
          </w:p>
        </w:tc>
        <w:tc>
          <w:tcPr>
            <w:tcW w:w="2633" w:type="dxa"/>
            <w:vAlign w:val="center"/>
            <w:noWrap w:val="0"/>
          </w:tcPr>
          <w:p>
            <w:pPr>
              <w:spacing w:line="360" w:lineRule="auto"/>
              <w:rPr>
                <w:szCs w:val="21"/>
                <w:rFonts w:ascii="宋体" w:hAnsi="宋体" w:eastAsia="宋体" w:cs="宋体" w:hint="eastAsia"/>
              </w:rPr>
            </w:pPr>
            <w:r>
              <w:rPr>
                <w:szCs w:val="21"/>
                <w:rFonts w:ascii="宋体" w:hAnsi="宋体" w:eastAsia="宋体" w:cs="宋体" w:hint="eastAsia"/>
              </w:rPr>
              <w:t>存储运输极限环境温度</w:t>
            </w:r>
          </w:p>
        </w:tc>
        <w:tc>
          <w:tcPr>
            <w:tcW w:w="5107" w:type="dxa"/>
            <w:gridSpan w:val="2"/>
            <w:vAlign w:val="center"/>
            <w:noWrap w:val="0"/>
          </w:tcPr>
          <w:p>
            <w:pPr>
              <w:spacing w:line="360" w:lineRule="auto"/>
              <w:rPr>
                <w:szCs w:val="21"/>
                <w:rFonts w:ascii="宋体" w:hAnsi="宋体" w:eastAsia="宋体" w:cs="宋体" w:hint="eastAsia"/>
              </w:rPr>
            </w:pPr>
            <w:r>
              <w:rPr>
                <w:szCs w:val="21"/>
                <w:rFonts w:ascii="宋体" w:hAnsi="宋体" w:eastAsia="宋体" w:cs="宋体" w:hint="eastAsia"/>
              </w:rPr>
              <w:t>-40 ℃～80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blHeader/>
          <w:jc w:val="center"/>
        </w:trPr>
        <w:tc>
          <w:tcPr>
            <w:tcW w:w="773" w:type="dxa"/>
            <w:vAlign w:val="center"/>
            <w:noWrap w:val="0"/>
          </w:tcPr>
          <w:p>
            <w:pPr>
              <w:spacing w:line="360" w:lineRule="auto"/>
              <w:rPr>
                <w:szCs w:val="21"/>
                <w:rFonts w:ascii="宋体" w:hAnsi="宋体" w:eastAsia="宋体" w:cs="宋体" w:hint="eastAsia"/>
              </w:rPr>
            </w:pPr>
            <w:r>
              <w:rPr>
                <w:szCs w:val="21"/>
                <w:rFonts w:ascii="宋体" w:hAnsi="宋体" w:eastAsia="宋体" w:cs="宋体" w:hint="eastAsia"/>
              </w:rPr>
              <w:t>19</w:t>
            </w:r>
          </w:p>
        </w:tc>
        <w:tc>
          <w:tcPr>
            <w:tcW w:w="2633" w:type="dxa"/>
            <w:vAlign w:val="center"/>
            <w:noWrap w:val="0"/>
          </w:tcPr>
          <w:p>
            <w:pPr>
              <w:spacing w:line="360" w:lineRule="auto"/>
              <w:rPr>
                <w:szCs w:val="21"/>
                <w:rFonts w:ascii="宋体" w:hAnsi="宋体" w:eastAsia="宋体" w:cs="宋体" w:hint="eastAsia"/>
              </w:rPr>
            </w:pPr>
            <w:r>
              <w:rPr>
                <w:szCs w:val="21"/>
                <w:rFonts w:ascii="宋体" w:hAnsi="宋体" w:eastAsia="宋体" w:cs="宋体" w:hint="eastAsia"/>
              </w:rPr>
              <w:t>外壳的防护性能</w:t>
            </w:r>
          </w:p>
        </w:tc>
        <w:tc>
          <w:tcPr>
            <w:tcW w:w="5107" w:type="dxa"/>
            <w:gridSpan w:val="2"/>
            <w:vAlign w:val="center"/>
            <w:noWrap w:val="0"/>
          </w:tcPr>
          <w:p>
            <w:pPr>
              <w:spacing w:line="360" w:lineRule="auto"/>
              <w:rPr>
                <w:szCs w:val="21"/>
                <w:rFonts w:ascii="宋体" w:hAnsi="宋体" w:eastAsia="宋体" w:cs="宋体" w:hint="eastAsia"/>
              </w:rPr>
            </w:pPr>
            <w:r>
              <w:rPr>
                <w:szCs w:val="21"/>
                <w:rFonts w:ascii="宋体" w:hAnsi="宋体" w:eastAsia="宋体" w:cs="宋体" w:hint="eastAsia"/>
              </w:rPr>
              <w:t>IP55</w:t>
            </w:r>
          </w:p>
        </w:tc>
      </w:tr>
    </w:tbl>
    <w:p>
      <w:pPr>
        <w:rPr>
          <w:lang w:val="en-US" w:eastAsia="zh-CN"/>
          <w:rFonts w:hint="default"/>
        </w:rPr>
      </w:pPr>
    </w:p>
    <w:p>
      <w:pPr>
        <w:pStyle w:val="5"/>
        <w:bidi w:val="0"/>
        <w:rPr>
          <w:rFonts w:hint="eastAsia"/>
        </w:rPr>
      </w:pPr>
      <w:bookmarkStart w:id="32" w:name="_Toc393354414"/>
      <w:bookmarkStart w:id="33" w:name="_Toc20186"/>
      <w:bookmarkEnd w:id="32"/>
      <w:bookmarkEnd w:id="33"/>
      <w:r>
        <w:rPr>
          <w:rFonts w:hint="eastAsia"/>
        </w:rPr>
        <w:t>3.</w:t>
      </w:r>
      <w:r>
        <w:rPr>
          <w:lang w:val="en-US" w:eastAsia="zh-CN"/>
          <w:rFonts w:hint="eastAsia"/>
        </w:rPr>
        <w:t>2</w:t>
      </w:r>
      <w:r>
        <w:rPr>
          <w:rFonts w:hint="eastAsia"/>
        </w:rPr>
        <w:t>循技术标准</w:t>
      </w:r>
    </w:p>
    <w:p>
      <w:pPr>
        <w:spacing w:line="360" w:lineRule="auto"/>
        <w:rPr>
          <w:sz w:val="24"/>
          <w:rFonts w:hint="eastAsia"/>
        </w:rPr>
      </w:pPr>
      <w:r>
        <w:rPr>
          <w:sz w:val="24"/>
          <w:rFonts w:hint="eastAsia"/>
        </w:rPr>
        <w:t>1、《Q/GDW 540.1 变电设备在线监测装置检验规范 第1部分：通用技术规范》</w:t>
      </w:r>
    </w:p>
    <w:p>
      <w:pPr>
        <w:spacing w:line="360" w:lineRule="auto"/>
        <w:rPr>
          <w:rFonts w:hint="eastAsia"/>
        </w:rPr>
      </w:pPr>
      <w:bookmarkStart w:id="34" w:name="_Toc393354415"/>
      <w:bookmarkStart w:id="35" w:name="_Toc535"/>
      <w:r>
        <w:rPr>
          <w:sz w:val="24"/>
          <w:rFonts w:hint="eastAsia"/>
        </w:rPr>
        <w:t>2、《Q/GDW 540.2 变电设备在线监测装置检验规范 第2部分：变压器油中溶解气体在线监测装置》</w:t>
      </w:r>
    </w:p>
    <w:p>
      <w:pPr>
        <w:pStyle w:val="4"/>
        <w:rPr>
          <w:rFonts w:hint="eastAsia"/>
        </w:rPr>
      </w:pPr>
    </w:p>
    <w:p>
      <w:pPr>
        <w:pStyle w:val="4"/>
        <w:rPr>
          <w:rFonts w:hint="eastAsia"/>
        </w:rPr>
      </w:pPr>
    </w:p>
    <w:p>
      <w:pPr>
        <w:pStyle w:val="4"/>
        <w:rPr>
          <w:rFonts w:hint="eastAsia"/>
        </w:rPr>
      </w:pPr>
    </w:p>
    <w:p>
      <w:pPr>
        <w:pStyle w:val="4"/>
      </w:pPr>
      <w:bookmarkEnd w:id="34"/>
      <w:bookmarkEnd w:id="35"/>
      <w:r>
        <w:rPr>
          <w:rFonts w:hint="eastAsia"/>
        </w:rPr>
        <w:t>4. 硬件结构</w:t>
      </w:r>
    </w:p>
    <w:p>
      <w:pPr>
        <w:pStyle w:val="5"/>
        <w:bidi w:val="0"/>
        <w:rPr>
          <w:lang w:val="en-US" w:eastAsia="zh-CN"/>
          <w:rFonts w:hint="eastAsia"/>
        </w:rPr>
      </w:pPr>
      <w:bookmarkStart w:id="36" w:name="_Toc26356"/>
      <w:bookmarkEnd w:id="36"/>
      <w:r>
        <w:rPr>
          <w:lang w:val="en-US" w:eastAsia="zh-CN"/>
          <w:rFonts w:hint="eastAsia"/>
        </w:rPr>
        <w:t>4.1装置外观</w:t>
      </w:r>
    </w:p>
    <w:p>
      <w:pPr>
        <w:rPr>
          <w:lang w:val="en-US" w:eastAsia="zh-CN"/>
          <w:rFonts w:hint="eastAsia"/>
        </w:rPr>
      </w:pPr>
    </w:p>
    <w:p>
      <w:pPr>
        <w:rPr>
          <w:lang w:val="en-US" w:eastAsia="zh-CN"/>
          <w:rFonts w:hint="default"/>
        </w:rPr>
      </w:pPr>
      <w:r>
        <w:rPr>
          <w:lang w:val="en-US" w:eastAsia="zh-CN"/>
          <w:rFonts w:hint="eastAsia"/>
        </w:rPr>
        <w:t xml:space="preserve">                                            </w:t>
      </w:r>
    </w:p>
    <w:p>
      <w:pPr>
        <w:rPr>
          <w:lang w:val="en-US" w:eastAsia="zh-CN"/>
          <w:rFonts w:hint="eastAsia"/>
        </w:rPr>
      </w:pPr>
    </w:p>
    <w:p>
      <w:pPr>
        <w:jc w:val="left"/>
        <w:rPr>
          <w:lang w:val="en-US" w:eastAsia="zh-CN"/>
          <w:rFonts w:hint="default"/>
        </w:rPr>
      </w:pPr>
      <w:r>
        <w:rPr>
          <w:lang w:val="en-US" w:eastAsia="zh-CN"/>
          <w:rFonts w:hint="eastAsia"/>
        </w:rPr>
        <w:t xml:space="preserve">                    </w:t>
      </w:r>
      <w:r>
        <w:rPr>
          <w:lang w:val="en-US" w:eastAsia="zh-CN"/>
          <w:rFonts w:hint="default"/>
        </w:rPr>
        <w:drawing>
          <wp:inline distT="0" distB="0" distL="114300" distR="114300">
            <wp:extent cx="2630170" cy="3955415"/>
            <wp:effectExtent l="0" t="0" r="6350" b="6985"/>
            <wp:docPr id="4" name="图片 3" descr="C:\Users\1\Desktop\微信图片_20220913110621.jpg微信图片_20220913110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1\Desktop\微信图片_20220913110621.jpg微信图片_20220913110621"/>
                    <pic:cNvPicPr/>
                  </pic:nvPicPr>
                  <pic:blipFill>
                    <a:blip r:embed="rId15"/>
                    <a:srcRect/>
                    <a:stretch>
                      <a:fillRect/>
                    </a:stretch>
                  </pic:blipFill>
                  <pic:spPr>
                    <a:xfrm>
                      <a:off x="0" y="0"/>
                      <a:ext cx="2630170" cy="3955415"/>
                    </a:xfrm>
                    <a:prstGeom prst="rect">
                      <a:avLst/>
                    </a:prstGeom>
                  </pic:spPr>
                </pic:pic>
              </a:graphicData>
            </a:graphic>
          </wp:inline>
        </w:drawing>
      </w:r>
    </w:p>
    <w:p>
      <w:pPr>
        <w:jc w:val="center"/>
        <w:rPr>
          <w:lang w:val="en-US" w:eastAsia="zh-CN"/>
          <w:rFonts w:hint="eastAsia"/>
        </w:rPr>
      </w:pPr>
      <w:r>
        <w:rPr>
          <w:lang w:val="en-US" w:eastAsia="zh-CN"/>
          <w:rFonts w:hint="eastAsia"/>
        </w:rPr>
        <w:t>4-1外部前视图</w:t>
      </w:r>
    </w:p>
    <w:p>
      <w:pPr>
        <w:jc w:val="center"/>
        <w:rPr>
          <w:lang w:val="en-US" w:eastAsia="zh-CN"/>
          <w:rFonts w:hint="default"/>
        </w:rPr>
      </w:pPr>
      <w:r>
        <w:rPr>
          <w:lang w:val="en-US" w:eastAsia="zh-CN"/>
          <w:rFonts w:hint="default"/>
        </w:rPr>
        <w:drawing>
          <wp:inline distT="0" distB="0" distL="114300" distR="114300">
            <wp:extent cx="3757930" cy="6680835"/>
            <wp:effectExtent l="0" t="0" r="6350" b="9525"/>
            <wp:docPr id="5" name="图片 4" descr="C:\Users\1\Desktop\微信图片_20220913110741.jpg微信图片_20220913110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1\Desktop\微信图片_20220913110741.jpg微信图片_20220913110741"/>
                    <pic:cNvPicPr/>
                  </pic:nvPicPr>
                  <pic:blipFill>
                    <a:blip r:embed="rId16"/>
                    <a:srcRect/>
                    <a:stretch>
                      <a:fillRect/>
                    </a:stretch>
                  </pic:blipFill>
                  <pic:spPr>
                    <a:xfrm>
                      <a:off x="0" y="0"/>
                      <a:ext cx="3757930" cy="6680835"/>
                    </a:xfrm>
                    <a:prstGeom prst="rect">
                      <a:avLst/>
                    </a:prstGeom>
                  </pic:spPr>
                </pic:pic>
              </a:graphicData>
            </a:graphic>
          </wp:inline>
        </w:drawing>
      </w:r>
    </w:p>
    <w:p>
      <w:pPr>
        <w:jc w:val="center"/>
        <w:rPr>
          <w:lang w:val="en-US" w:eastAsia="zh-CN"/>
          <w:rFonts w:hint="eastAsia" w:asciiTheme="minorEastAsia" w:hAnsiTheme="minorEastAsia" w:eastAsiaTheme="minorEastAsia" w:cstheme="minorEastAsia"/>
        </w:rPr>
      </w:pPr>
      <w:r>
        <w:rPr>
          <w:lang w:val="en-US" w:eastAsia="zh-CN"/>
          <w:rFonts w:hint="eastAsia" w:asciiTheme="minorEastAsia" w:hAnsiTheme="minorEastAsia" w:eastAsiaTheme="minorEastAsia" w:cstheme="minorEastAsia"/>
        </w:rPr>
        <w:t>4-2内部后视图</w:t>
      </w:r>
    </w:p>
    <w:p>
      <w:pPr>
        <w:pStyle w:val="5"/>
        <w:bidi w:val="0"/>
        <w:rPr>
          <w:rFonts w:hint="eastAsia"/>
        </w:rPr>
      </w:pPr>
      <w:bookmarkStart w:id="37" w:name="_Toc393354417"/>
      <w:bookmarkStart w:id="38" w:name="_Toc15952"/>
      <w:bookmarkEnd w:id="37"/>
      <w:bookmarkEnd w:id="38"/>
      <w:r>
        <w:rPr>
          <w:rFonts w:hint="eastAsia"/>
        </w:rPr>
        <w:t>4.2 户外柜结构</w:t>
      </w:r>
    </w:p>
    <w:p>
      <w:pPr>
        <w:spacing w:line="360" w:lineRule="auto"/>
        <w:ind w:firstLine="480"/>
        <w:rPr>
          <w:sz w:val="24"/>
          <w:lang w:val="en-US" w:eastAsia="zh-CN"/>
          <w:rFonts w:ascii="宋体" w:hAnsi="宋体" w:eastAsia="宋体" w:cs="宋体" w:hint="default"/>
        </w:rPr>
      </w:pPr>
      <w:r>
        <w:rPr>
          <w:sz w:val="24"/>
          <w:rFonts w:ascii="宋体" w:hAnsi="宋体" w:eastAsia="宋体" w:cs="宋体" w:hint="eastAsia"/>
        </w:rPr>
        <w:t>针对不同的应用场合，户外柜分常规机柜和智能机柜两种类型：采用常规机柜的监测系统仅用于油色谱监测，机柜尺寸：</w:t>
      </w:r>
      <w:r>
        <w:rPr>
          <w:color w:val="FF0000"/>
          <w:sz w:val="24"/>
          <w:rFonts w:ascii="宋体" w:hAnsi="宋体" w:eastAsia="宋体" w:cs="宋体" w:hint="eastAsia"/>
        </w:rPr>
        <w:t>600mm*650mm*1242mm</w:t>
      </w:r>
      <w:r>
        <w:rPr>
          <w:sz w:val="24"/>
          <w:rFonts w:ascii="宋体" w:hAnsi="宋体" w:eastAsia="宋体" w:cs="宋体" w:hint="eastAsia"/>
        </w:rPr>
        <w:t>，如图4-3；采用智能机柜的监测系统用于变压器智能组件，可扩展局放监测、铁心接地电流监测、油温监测等功能，可采用户外柜尺寸为</w:t>
      </w:r>
      <w:r>
        <w:rPr>
          <w:color w:val="FF0000"/>
          <w:sz w:val="24"/>
          <w:rFonts w:ascii="宋体" w:hAnsi="宋体" w:eastAsia="宋体" w:cs="宋体" w:hint="eastAsia"/>
        </w:rPr>
        <w:t>800mm*800mm*1800mm</w:t>
      </w:r>
      <w:r>
        <w:rPr>
          <w:sz w:val="24"/>
          <w:rFonts w:ascii="宋体" w:hAnsi="宋体" w:eastAsia="宋体" w:cs="宋体" w:hint="eastAsia"/>
        </w:rPr>
        <w:t>。</w:t>
      </w:r>
      <w:r>
        <w:drawing>
          <wp:inline distT="0" distB="0" distL="114300" distR="114300">
            <wp:extent cx="2680335" cy="3869690"/>
            <wp:effectExtent l="0" t="0" r="1905" b="127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pic:nvPicPr>
                  <pic:blipFill>
                    <a:blip r:embed="rId17"/>
                    <a:srcRect l="7755" t="9782" r="64340" b="18616"/>
                    <a:stretch>
                      <a:fillRect/>
                    </a:stretch>
                  </pic:blipFill>
                  <pic:spPr>
                    <a:xfrm>
                      <a:off x="0" y="0"/>
                      <a:ext cx="2680335" cy="3869690"/>
                    </a:xfrm>
                    <a:prstGeom prst="rect">
                      <a:avLst/>
                    </a:prstGeom>
                    <a:ln w="12700">
                      <a:noFill/>
                    </a:ln>
                  </pic:spPr>
                </pic:pic>
              </a:graphicData>
            </a:graphic>
          </wp:inline>
        </w:drawing>
      </w:r>
      <w:r>
        <w:rPr>
          <w:lang w:val="en-US" w:eastAsia="zh-CN"/>
          <w:rFonts w:hint="eastAsia"/>
        </w:rPr>
        <w:t xml:space="preserve">  </w:t>
      </w:r>
      <w:r>
        <w:drawing>
          <wp:inline distT="0" distB="0" distL="114300" distR="114300">
            <wp:extent cx="2289810" cy="4505960"/>
            <wp:effectExtent l="0" t="0" r="1143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pic:nvPicPr>
                  <pic:blipFill>
                    <a:blip r:embed="rId18"/>
                    <a:srcRect l="47488" t="8958" r="32080" b="20000"/>
                    <a:stretch>
                      <a:fillRect/>
                    </a:stretch>
                  </pic:blipFill>
                  <pic:spPr>
                    <a:xfrm>
                      <a:off x="0" y="0"/>
                      <a:ext cx="2289810" cy="4505960"/>
                    </a:xfrm>
                    <a:prstGeom prst="rect">
                      <a:avLst/>
                    </a:prstGeom>
                    <a:ln w="12700">
                      <a:noFill/>
                    </a:ln>
                  </pic:spPr>
                </pic:pic>
              </a:graphicData>
            </a:graphic>
          </wp:inline>
        </w:drawing>
      </w:r>
    </w:p>
    <w:p>
      <w:pPr>
        <w:spacing w:line="360" w:lineRule="auto"/>
        <w:ind w:firstLine="1982" w:firstLineChars="826"/>
        <w:rPr>
          <w:sz w:val="24"/>
          <w:lang w:val="en-US" w:eastAsia="zh-CN"/>
          <w:rFonts w:ascii="宋体" w:hAnsi="宋体" w:eastAsia="宋体" w:cs="宋体" w:hint="default"/>
        </w:rPr>
      </w:pPr>
      <w:r>
        <w:rPr>
          <w:sz w:val="24"/>
          <w:lang w:val="en-US" w:eastAsia="zh-CN"/>
          <w:rFonts w:ascii="宋体" w:hAnsi="宋体" w:cs="宋体" w:hint="eastAsia"/>
        </w:rPr>
        <w:t>机柜正面尺寸                机柜侧面尺寸</w:t>
      </w:r>
    </w:p>
    <w:p>
      <w:pPr>
        <w:pStyle w:val="5"/>
        <w:bidi w:val="0"/>
        <w:rPr>
          <w:lang w:val="en-US" w:eastAsia="zh-CN"/>
          <w:rFonts w:hint="eastAsia"/>
        </w:rPr>
      </w:pPr>
      <w:bookmarkStart w:id="39" w:name="_Toc24917"/>
      <w:bookmarkEnd w:id="39"/>
      <w:r>
        <w:rPr>
          <w:lang w:val="en-US" w:eastAsia="zh-CN"/>
          <w:rFonts w:hint="eastAsia"/>
        </w:rPr>
        <w:t>4.3装置安装</w:t>
      </w:r>
      <w:r>
        <w:rPr>
          <w:lang w:val="en-US" w:eastAsia="zh-CN"/>
          <w:rFonts w:hint="eastAsia"/>
        </w:rPr>
        <w:t xml:space="preserve"> </w:t>
      </w:r>
    </w:p>
    <w:p>
      <w:pPr>
        <w:pStyle w:val="6"/>
        <w:bidi w:val="0"/>
        <w:rPr>
          <w:lang w:val="en-US" w:eastAsia="zh-CN"/>
          <w:rFonts w:hint="default"/>
        </w:rPr>
      </w:pPr>
      <w:bookmarkStart w:id="40" w:name="_Toc3113"/>
      <w:bookmarkEnd w:id="40"/>
      <w:r>
        <w:rPr>
          <w:lang w:val="en-US" w:eastAsia="zh-CN"/>
          <w:rFonts w:hint="eastAsia"/>
        </w:rPr>
        <w:t>4.3.1安装注意点</w:t>
      </w:r>
    </w:p>
    <w:p>
      <w:pPr>
        <w:outlineLvl w:val="9"/>
        <w:spacing w:line="360" w:lineRule="auto"/>
        <w:rPr>
          <w:b w:val="1"/>
          <w:sz w:val="24"/>
          <w:rFonts w:hint="eastAsia"/>
        </w:rPr>
      </w:pPr>
      <w:r>
        <w:rPr>
          <w:b w:val="1"/>
          <w:sz w:val="24"/>
          <w:rFonts w:hint="eastAsia"/>
        </w:rPr>
        <w:t>（1）安装位置：</w:t>
      </w:r>
    </w:p>
    <w:p>
      <w:pPr>
        <w:outlineLvl w:val="9"/>
        <w:spacing w:line="360" w:lineRule="auto"/>
        <w:ind w:firstLine="480" w:firstLineChars="200"/>
        <w:rPr>
          <w:sz w:val="24"/>
        </w:rPr>
      </w:pPr>
      <w:r>
        <w:rPr>
          <w:sz w:val="24"/>
          <w:rFonts w:hint="eastAsia"/>
        </w:rPr>
        <w:t>推荐选择变压器不同方位如两侧阀门，作为进油口和出油口，消除油样采样死区问题，便于及时检测到变压器故障隐患。户外柜需要就地安装于主变侧，使进（返）油管长度不超过15米。</w:t>
      </w:r>
    </w:p>
    <w:p>
      <w:pPr>
        <w:outlineLvl w:val="9"/>
        <w:numPr>
          <w:ilvl w:val="0"/>
          <w:numId w:val="2"/>
        </w:numPr>
        <w:spacing w:line="360" w:lineRule="auto"/>
        <w:rPr>
          <w:b w:val="1"/>
          <w:sz w:val="24"/>
          <w:rFonts w:hint="eastAsia"/>
        </w:rPr>
      </w:pPr>
      <w:r>
        <w:rPr>
          <w:b w:val="1"/>
          <w:sz w:val="24"/>
          <w:lang w:val="en-US" w:eastAsia="zh-CN"/>
          <w:rFonts w:hint="eastAsia"/>
        </w:rPr>
        <w:t>线</w:t>
      </w:r>
      <w:r>
        <w:rPr>
          <w:b w:val="1"/>
          <w:sz w:val="24"/>
          <w:rFonts w:hint="eastAsia"/>
        </w:rPr>
        <w:t>缆铺设：</w:t>
      </w:r>
    </w:p>
    <w:p>
      <w:pPr>
        <w:outlineLvl w:val="9"/>
        <w:spacing w:line="360" w:lineRule="auto"/>
        <w:ind w:firstLine="480" w:firstLineChars="200"/>
        <w:rPr>
          <w:sz w:val="24"/>
          <w:rFonts w:hint="eastAsia"/>
        </w:rPr>
      </w:pPr>
      <w:r>
        <w:rPr>
          <w:sz w:val="24"/>
          <w:lang w:val="en-US" w:eastAsia="zh-CN"/>
          <w:rFonts w:hint="eastAsia"/>
        </w:rPr>
        <w:t>电缆铺设：</w:t>
      </w:r>
      <w:r>
        <w:rPr>
          <w:sz w:val="24"/>
          <w:rFonts w:hint="eastAsia"/>
        </w:rPr>
        <w:t>在线监测装置现场工作需提供220V /50Hz交流电源（5A以上）一副。</w:t>
      </w:r>
    </w:p>
    <w:p>
      <w:pPr>
        <w:outlineLvl w:val="9"/>
        <w:spacing w:line="360" w:lineRule="auto"/>
        <w:ind w:firstLine="480" w:firstLineChars="200"/>
        <w:rPr>
          <w:sz w:val="24"/>
          <w:rFonts w:hint="eastAsia"/>
        </w:rPr>
      </w:pPr>
      <w:r>
        <w:rPr>
          <w:sz w:val="24"/>
          <w:lang w:val="en-US" w:eastAsia="zh-CN"/>
          <w:rFonts w:hint="eastAsia"/>
        </w:rPr>
        <w:t>通讯电缆：</w:t>
      </w:r>
      <w:r>
        <w:rPr>
          <w:sz w:val="24"/>
          <w:rFonts w:hint="eastAsia"/>
        </w:rPr>
        <w:t>从户外柜至在线监测后台主机需要铺设光纤</w:t>
      </w:r>
      <w:r>
        <w:rPr>
          <w:sz w:val="24"/>
          <w:lang w:eastAsia="zh-CN"/>
          <w:rFonts w:hint="eastAsia"/>
        </w:rPr>
        <w:t>（</w:t>
      </w:r>
      <w:r>
        <w:rPr>
          <w:sz w:val="24"/>
          <w:lang w:val="en-US" w:eastAsia="zh-CN"/>
          <w:rFonts w:hint="eastAsia"/>
        </w:rPr>
        <w:t>通讯距离不超过100米可用超五类网线</w:t>
      </w:r>
      <w:r>
        <w:rPr>
          <w:sz w:val="24"/>
          <w:lang w:eastAsia="zh-CN"/>
          <w:rFonts w:hint="eastAsia"/>
        </w:rPr>
        <w:t>）</w:t>
      </w:r>
      <w:r>
        <w:rPr>
          <w:sz w:val="24"/>
          <w:rFonts w:hint="eastAsia"/>
        </w:rPr>
        <w:t>。</w:t>
      </w:r>
    </w:p>
    <w:p>
      <w:pPr>
        <w:outlineLvl w:val="9"/>
        <w:numPr>
          <w:ilvl w:val="0"/>
          <w:numId w:val="2"/>
        </w:numPr>
        <w:spacing w:line="360" w:lineRule="auto"/>
        <w:ind w:firstLine="0" w:firstLineChars="0" w:left="0" w:leftChars="0"/>
        <w:rPr>
          <w:b w:val="1"/>
          <w:sz w:val="24"/>
          <w:lang w:val="en-US" w:eastAsia="zh-CN"/>
          <w:bCs/>
          <w:rFonts w:hint="eastAsia"/>
        </w:rPr>
      </w:pPr>
      <w:r>
        <w:rPr>
          <w:b w:val="1"/>
          <w:sz w:val="24"/>
          <w:lang w:val="en-US" w:eastAsia="zh-CN"/>
          <w:bCs/>
          <w:rFonts w:hint="eastAsia"/>
        </w:rPr>
        <w:t>底座制作</w:t>
      </w:r>
    </w:p>
    <w:p>
      <w:pPr>
        <w:pStyle w:val="22"/>
        <w:adjustRightInd w:val="0"/>
        <w:snapToGrid w:val="0"/>
        <w:spacing w:after="0" w:afterAutospacing="0" w:before="0" w:beforeAutospacing="0" w:line="360" w:lineRule="auto"/>
        <w:ind w:firstLine="480" w:firstLineChars="200"/>
        <w:rPr>
          <w:rStyle w:val="23"/>
          <w:kern w:val="2"/>
          <w:rFonts w:ascii="宋体" w:hAnsi="宋体"/>
        </w:rPr>
      </w:pPr>
      <w:r>
        <w:rPr>
          <w:rStyle w:val="23"/>
          <w:lang w:eastAsia="zh-CN"/>
          <w:kern w:val="2"/>
          <w:rFonts w:ascii="宋体" w:hAnsi="宋体" w:hint="eastAsia"/>
        </w:rPr>
        <w:t>（</w:t>
      </w:r>
      <w:r>
        <w:rPr>
          <w:rStyle w:val="23"/>
          <w:kern w:val="2"/>
          <w:rFonts w:ascii="宋体" w:hAnsi="宋体" w:hint="eastAsia"/>
        </w:rPr>
        <w:t>1）屏柜底座基础挖深土方500mm,基垫层400mm,基础外径尺寸770mm（宽）x7500mm（深）,内径尺寸470mm（宽）x420mm（深）。</w:t>
      </w:r>
    </w:p>
    <w:p>
      <w:pPr>
        <w:pStyle w:val="22"/>
        <w:adjustRightInd w:val="0"/>
        <w:snapToGrid w:val="0"/>
        <w:spacing w:after="0" w:afterAutospacing="0" w:before="0" w:beforeAutospacing="0" w:line="360" w:lineRule="auto"/>
        <w:ind w:firstLine="480" w:firstLineChars="200"/>
        <w:rPr>
          <w:rStyle w:val="23"/>
          <w:kern w:val="2"/>
          <w:rFonts w:ascii="宋体" w:hAnsi="宋体"/>
        </w:rPr>
      </w:pPr>
      <w:r>
        <w:rPr>
          <w:rStyle w:val="23"/>
          <w:kern w:val="2"/>
          <w:rFonts w:ascii="宋体" w:hAnsi="宋体" w:hint="eastAsia"/>
        </w:rPr>
        <w:t>2）屏柜底座基础垫层使用砂：石=40%：60%配比砂石铺垫，混凝土垫层应密实、平整，厚度符合要求。</w:t>
      </w:r>
    </w:p>
    <w:p>
      <w:pPr>
        <w:pStyle w:val="22"/>
        <w:adjustRightInd w:val="0"/>
        <w:snapToGrid w:val="0"/>
        <w:spacing w:after="0" w:afterAutospacing="0" w:before="0" w:beforeAutospacing="0" w:line="360" w:lineRule="auto"/>
        <w:ind w:firstLine="480" w:firstLineChars="200"/>
        <w:rPr>
          <w:rStyle w:val="23"/>
          <w:kern w:val="2"/>
          <w:rFonts w:ascii="宋体" w:hAnsi="宋体"/>
        </w:rPr>
      </w:pPr>
      <w:r>
        <w:rPr>
          <w:rStyle w:val="23"/>
          <w:kern w:val="2"/>
          <w:rFonts w:ascii="宋体" w:hAnsi="宋体" w:hint="eastAsia"/>
        </w:rPr>
        <w:t>3）屏柜底座基础使用C30混凝土浇筑，使用ф8钢筋连接，钢筋绑扎应符合施工规范及设计要求，墙身钢筋绑扎接头弯钩均应朝混凝土墙板内侧。</w:t>
      </w:r>
    </w:p>
    <w:p>
      <w:pPr>
        <w:pStyle w:val="22"/>
        <w:adjustRightInd w:val="0"/>
        <w:snapToGrid w:val="0"/>
        <w:spacing w:after="0" w:afterAutospacing="0" w:before="0" w:beforeAutospacing="0" w:line="360" w:lineRule="auto"/>
        <w:ind w:firstLine="480" w:firstLineChars="200"/>
        <w:rPr>
          <w:rStyle w:val="23"/>
          <w:kern w:val="2"/>
          <w:rFonts w:ascii="宋体" w:hAnsi="宋体"/>
        </w:rPr>
      </w:pPr>
      <w:r>
        <w:rPr>
          <w:rStyle w:val="23"/>
          <w:kern w:val="2"/>
          <w:rFonts w:ascii="宋体" w:hAnsi="宋体" w:hint="eastAsia"/>
        </w:rPr>
        <w:t>4）混凝土振捣。混凝土进入浇筑地点时在摊铺时不能远距离抛投混凝土，防止混凝土因惯性产生离析，影响混凝土浇捣质量，混凝土铺满后先用插入式振捣捧进行振捣，振点间距不大于200mm，先两边后中间，但也不能过度振捣，不能漏振，但也不能过度振捣会造成混凝土分层分离析，不均匀收缩极易造成混凝土表面龟裂。预埋管线、套管、预留孔洞、预埋件在合模时或砼浇灌前应预先固定反复校核，不得遗漏。</w:t>
      </w:r>
    </w:p>
    <w:p>
      <w:pPr>
        <w:outlineLvl w:val="9"/>
        <w:numPr>
          <w:ilvl w:val="0"/>
          <w:numId w:val="0"/>
        </w:numPr>
        <w:spacing w:line="360" w:lineRule="auto"/>
        <w:ind w:leftChars="0"/>
        <w:rPr>
          <w:sz w:val="24"/>
          <w:lang w:val="en-US" w:eastAsia="zh-CN"/>
          <w:rFonts w:hint="default"/>
        </w:rPr>
      </w:pPr>
    </w:p>
    <w:p>
      <w:pPr>
        <w:outlineLvl w:val="9"/>
        <w:spacing w:line="360" w:lineRule="auto"/>
        <w:rPr>
          <w:b w:val="1"/>
          <w:sz w:val="24"/>
          <w:rFonts w:hint="eastAsia"/>
        </w:rPr>
      </w:pPr>
      <w:r>
        <w:rPr>
          <w:b w:val="1"/>
          <w:sz w:val="24"/>
          <w:rFonts w:hint="eastAsia"/>
        </w:rPr>
        <w:t>（4）油阀安装：</w:t>
      </w:r>
    </w:p>
    <w:p>
      <w:pPr>
        <w:outlineLvl w:val="9"/>
        <w:spacing w:line="360" w:lineRule="auto"/>
        <w:ind w:firstLine="480" w:firstLineChars="200"/>
        <w:rPr>
          <w:sz w:val="24"/>
          <w:rFonts w:hint="eastAsia"/>
        </w:rPr>
      </w:pPr>
      <w:r>
        <w:rPr>
          <w:sz w:val="24"/>
          <w:rFonts w:hint="eastAsia"/>
        </w:rPr>
        <w:t>采用定制法兰盘组件与变压器阀门对接，装置与法兰盘组件之间采用不锈钢管道连接，实现进油和回油。安装取油回油阀时，先旋下取油回油口螺帽，更换新的耐油密封圈，按照取油样的方法，用一空桶或其他容器接废油，旋松取油嘴，让油样从取油口流出，流量调至适中，迅速旋上接口阀直至压紧密封圈。接口阀如图4-7所示。</w:t>
      </w:r>
    </w:p>
    <w:p>
      <w:pPr>
        <w:outlineLvl w:val="9"/>
        <w:spacing w:line="360" w:lineRule="auto"/>
        <w:ind w:firstLine="411" w:firstLineChars="196"/>
        <w:rPr>
          <w:color w:val="FF0000"/>
          <w:szCs w:val="21"/>
          <w:rFonts w:hint="eastAsia"/>
        </w:rPr>
      </w:pPr>
      <w:r>
        <w:rPr>
          <w:color w:val="FF0000"/>
          <w:szCs w:val="21"/>
          <w:rFonts w:hint="eastAsia"/>
        </w:rPr>
        <w:t>【注】：</w:t>
      </w:r>
    </w:p>
    <w:p>
      <w:pPr>
        <w:outlineLvl w:val="9"/>
        <w:numPr>
          <w:ilvl w:val="0"/>
          <w:numId w:val="3"/>
        </w:numPr>
        <w:spacing w:line="360" w:lineRule="auto"/>
        <w:rPr>
          <w:color w:val="FF0000"/>
          <w:szCs w:val="21"/>
          <w:rFonts w:hint="eastAsia"/>
        </w:rPr>
      </w:pPr>
      <w:r>
        <w:rPr>
          <w:color w:val="FF0000"/>
          <w:szCs w:val="21"/>
          <w:rFonts w:hint="eastAsia"/>
        </w:rPr>
        <w:t>油阀结构及尺寸、高度需要施工前确定，定制加工。</w:t>
      </w:r>
    </w:p>
    <w:p>
      <w:pPr>
        <w:outlineLvl w:val="9"/>
        <w:numPr>
          <w:ilvl w:val="0"/>
          <w:numId w:val="3"/>
        </w:numPr>
        <w:spacing w:line="360" w:lineRule="auto"/>
        <w:rPr>
          <w:color w:val="FF0000"/>
          <w:szCs w:val="21"/>
          <w:rFonts w:hint="eastAsia"/>
        </w:rPr>
      </w:pPr>
      <w:r>
        <w:rPr>
          <w:color w:val="FF0000"/>
          <w:szCs w:val="21"/>
          <w:rFonts w:hint="eastAsia"/>
        </w:rPr>
        <w:t>不推荐采用变压器冷却管道或压力管道处的阀门作为取油口（回油口）。</w:t>
      </w:r>
    </w:p>
    <w:p>
      <w:pPr>
        <w:outlineLvl w:val="9"/>
        <w:numPr>
          <w:ilvl w:val="0"/>
          <w:numId w:val="3"/>
        </w:numPr>
        <w:spacing w:line="360" w:lineRule="auto"/>
        <w:rPr>
          <w:color w:val="FF0000"/>
          <w:szCs w:val="21"/>
        </w:rPr>
      </w:pPr>
      <w:r>
        <w:rPr>
          <w:color w:val="FF0000"/>
          <w:szCs w:val="21"/>
          <w:rFonts w:hint="eastAsia"/>
        </w:rPr>
        <w:t>不推荐取油口与回油口共用阀门。</w:t>
      </w:r>
    </w:p>
    <w:p>
      <w:pPr>
        <w:outlineLvl w:val="9"/>
        <w:spacing w:line="360" w:lineRule="auto"/>
        <w:rPr>
          <w:b w:val="1"/>
          <w:sz w:val="24"/>
          <w:rFonts w:hint="eastAsia"/>
        </w:rPr>
      </w:pPr>
      <w:r>
        <w:rPr>
          <w:b w:val="1"/>
          <w:sz w:val="24"/>
          <w:rFonts w:hint="eastAsia"/>
        </w:rPr>
        <w:t>（5）油管铺设：</w:t>
      </w:r>
    </w:p>
    <w:p>
      <w:pPr>
        <w:outlineLvl w:val="9"/>
        <w:spacing w:line="360" w:lineRule="auto"/>
        <w:ind w:firstLine="480" w:firstLineChars="200"/>
        <w:rPr>
          <w:sz w:val="24"/>
          <w:rFonts w:hint="eastAsia"/>
        </w:rPr>
      </w:pPr>
      <w:r>
        <w:rPr>
          <w:sz w:val="24"/>
          <w:rFonts w:hint="eastAsia"/>
        </w:rPr>
        <w:t>按照确定的取油回油管走向，将变压器本体底层油池内的鹅卵石清理出能埋入φ50 防护管的通道，铺入所需防护管。防护管建议采用φ50 镀锌钢管，内部可再用铝塑套管保护，靠近变压器侧应有800mm 左右直角延伸（朝向油口）。</w:t>
      </w:r>
    </w:p>
    <w:p>
      <w:pPr>
        <w:outlineLvl w:val="9"/>
        <w:spacing w:line="360" w:lineRule="auto"/>
        <w:ind w:firstLine="480" w:firstLineChars="200"/>
        <w:rPr>
          <w:sz w:val="24"/>
          <w:rFonts w:hint="eastAsia"/>
        </w:rPr>
      </w:pPr>
      <w:r>
        <w:rPr>
          <w:sz w:val="24"/>
          <w:rFonts w:hint="eastAsia"/>
        </w:rPr>
        <w:t>铺设油管时，首先给油管加穿发泡保温管；再将已加装保温管的油管穿入防护管，按预铺防护管的走向铺设油管；最后，将取油回油接口阀上预留口与已铺设油管对接。</w:t>
      </w:r>
    </w:p>
    <w:p>
      <w:pPr>
        <w:outlineLvl w:val="9"/>
        <w:spacing w:line="360" w:lineRule="auto"/>
        <w:ind w:firstLine="480" w:firstLineChars="200"/>
        <w:rPr>
          <w:sz w:val="24"/>
          <w:rFonts w:hint="eastAsia"/>
        </w:rPr>
      </w:pPr>
      <w:r>
        <w:rPr>
          <w:sz w:val="24"/>
          <w:rFonts w:hint="eastAsia"/>
        </w:rPr>
        <w:t>铺设完成后，为防止在油管加穿发泡保温管时杂物进入油管，应进行取油回油管充放油操作：</w:t>
      </w:r>
    </w:p>
    <w:p>
      <w:pPr>
        <w:outlineLvl w:val="9"/>
        <w:numPr>
          <w:ilvl w:val="0"/>
          <w:numId w:val="4"/>
        </w:numPr>
        <w:spacing w:line="360" w:lineRule="auto"/>
        <w:rPr>
          <w:sz w:val="24"/>
          <w:rFonts w:hint="eastAsia"/>
        </w:rPr>
      </w:pPr>
      <w:r>
        <w:rPr>
          <w:sz w:val="24"/>
          <w:rFonts w:hint="eastAsia"/>
        </w:rPr>
        <w:t>逆时针旋松接口阀侧面放油螺栓；</w:t>
      </w:r>
    </w:p>
    <w:p>
      <w:pPr>
        <w:outlineLvl w:val="9"/>
        <w:numPr>
          <w:ilvl w:val="0"/>
          <w:numId w:val="4"/>
        </w:numPr>
        <w:spacing w:line="360" w:lineRule="auto"/>
        <w:rPr>
          <w:sz w:val="24"/>
          <w:rFonts w:hint="eastAsia"/>
        </w:rPr>
      </w:pPr>
      <w:r>
        <w:rPr>
          <w:sz w:val="24"/>
          <w:rFonts w:hint="eastAsia"/>
        </w:rPr>
        <w:t>让油样较快地从油管流出，直至流出的油样无气泡时马上与色谱数据采集装置进出油管接口对接。</w:t>
      </w:r>
    </w:p>
    <w:p>
      <w:pPr>
        <w:outlineLvl w:val="9"/>
        <w:spacing w:line="360" w:lineRule="auto"/>
        <w:rPr>
          <w:b w:val="1"/>
          <w:sz w:val="24"/>
          <w:rFonts w:hint="eastAsia"/>
        </w:rPr>
      </w:pPr>
      <w:r>
        <w:rPr>
          <w:b w:val="1"/>
          <w:sz w:val="24"/>
          <w:rFonts w:hint="eastAsia"/>
        </w:rPr>
        <w:t>（6）油路检漏：</w:t>
      </w:r>
    </w:p>
    <w:p>
      <w:pPr>
        <w:outlineLvl w:val="9"/>
        <w:spacing w:line="360" w:lineRule="auto"/>
        <w:ind w:firstLine="480" w:firstLineChars="200"/>
        <w:rPr>
          <w:sz w:val="24"/>
          <w:rFonts w:hint="eastAsia"/>
        </w:rPr>
      </w:pPr>
      <w:r>
        <w:rPr>
          <w:sz w:val="24"/>
          <w:rFonts w:hint="eastAsia"/>
        </w:rPr>
        <w:t>取油回油管在完成变压器侧和监测设备安装及油管对接后，用观察油是否渗漏的方法检查油管各连接点是否存在泄漏。</w:t>
      </w:r>
    </w:p>
    <w:p>
      <w:pPr>
        <w:outlineLvl w:val="9"/>
        <w:numPr>
          <w:ilvl w:val="0"/>
          <w:numId w:val="5"/>
        </w:numPr>
        <w:spacing w:line="360" w:lineRule="auto"/>
        <w:rPr>
          <w:sz w:val="24"/>
          <w:rFonts w:hint="eastAsia"/>
        </w:rPr>
      </w:pPr>
      <w:r>
        <w:rPr>
          <w:sz w:val="24"/>
          <w:rFonts w:hint="eastAsia"/>
        </w:rPr>
        <w:t>将变压器和设备所有连接的接口处用布或纸擦干净。</w:t>
      </w:r>
    </w:p>
    <w:p>
      <w:pPr>
        <w:outlineLvl w:val="9"/>
        <w:numPr>
          <w:ilvl w:val="0"/>
          <w:numId w:val="5"/>
        </w:numPr>
        <w:spacing w:line="360" w:lineRule="auto"/>
        <w:rPr>
          <w:sz w:val="24"/>
          <w:rFonts w:hint="eastAsia"/>
        </w:rPr>
      </w:pPr>
      <w:r>
        <w:rPr>
          <w:sz w:val="24"/>
          <w:rFonts w:hint="eastAsia"/>
        </w:rPr>
        <w:t>1小时左右观察，接口处无油迹视作不漏。</w:t>
      </w:r>
    </w:p>
    <w:p>
      <w:pPr>
        <w:outlineLvl w:val="9"/>
        <w:rPr>
          <w:lang w:val="en-US" w:eastAsia="zh-CN"/>
          <w:rFonts w:hint="default"/>
        </w:rPr>
      </w:pPr>
      <w:r>
        <w:rPr>
          <w:color w:val="FF0000"/>
          <w:szCs w:val="21"/>
          <w:rFonts w:hint="eastAsia"/>
        </w:rPr>
        <w:t>【注】：在安装变压器接口阀过程中，不允许有任何杂物进入变压器本体。</w:t>
      </w:r>
    </w:p>
    <w:p>
      <w:pPr>
        <w:rPr>
          <w:lang w:val="en-US" w:eastAsia="zh-CN"/>
          <w:rFonts w:hint="default"/>
        </w:rPr>
      </w:pPr>
    </w:p>
    <w:p>
      <w:pPr>
        <w:rPr>
          <w:lang w:val="en-US" w:eastAsia="zh-CN"/>
          <w:rFonts w:hint="default"/>
        </w:rPr>
      </w:pPr>
    </w:p>
    <w:p>
      <w:pPr>
        <w:rPr>
          <w:lang w:val="en-US" w:eastAsia="zh-CN"/>
          <w:rFonts w:hint="default"/>
        </w:rPr>
      </w:pPr>
    </w:p>
    <w:p>
      <w:pPr>
        <w:rPr>
          <w:lang w:val="en-US" w:eastAsia="zh-CN"/>
          <w:rFonts w:hint="default"/>
        </w:rPr>
      </w:pPr>
    </w:p>
    <w:p>
      <w:pPr>
        <w:pStyle w:val="6"/>
        <w:bidi w:val="0"/>
        <w:rPr>
          <w:lang w:val="en-US" w:eastAsia="zh-CN"/>
          <w:rFonts w:hint="eastAsia"/>
        </w:rPr>
      </w:pPr>
      <w:bookmarkStart w:id="41" w:name="_Toc25206"/>
      <w:bookmarkEnd w:id="41"/>
      <w:r>
        <w:rPr>
          <w:lang w:val="en-US" w:eastAsia="zh-CN"/>
          <w:rFonts w:hint="eastAsia"/>
        </w:rPr>
        <w:t>4.3.2安装示意图</w:t>
      </w:r>
    </w:p>
    <w:p>
      <w:pPr>
        <w:rPr>
          <w:lang w:val="en-US" w:eastAsia="zh-CN"/>
          <w:rFonts w:hint="eastAsia"/>
        </w:rPr>
      </w:pPr>
      <w:r>
        <w:drawing>
          <wp:inline distT="0" distB="0" distL="0" distR="0">
            <wp:extent cx="5974715" cy="4373880"/>
            <wp:docPr id="8" name="_x0000_i1030"/>
            <a:graphic xmlns:a="http://schemas.openxmlformats.org/drawingml/2006/main">
              <a:graphicData uri="http://schemas.openxmlformats.org/drawingml/2006/picture">
                <pic:pic xmlns:pic="http://schemas.openxmlformats.org/drawingml/2006/picture">
                  <pic:nvPicPr>
                    <pic:cNvPr id="1" name="图片 1"/>
                    <pic:cNvPicPr/>
                  </pic:nvPicPr>
                  <pic:blipFill>
                    <a:blip r:embed="rId19"/>
                    <a:stretch>
                      <a:fillRect/>
                    </a:stretch>
                  </pic:blipFill>
                  <pic:spPr>
                    <a:xfrm>
                      <a:off x="0" y="0"/>
                      <a:ext cx="5974715" cy="4373880"/>
                    </a:xfrm>
                    <a:prstGeom prst="rect">
                      <a:avLst/>
                    </a:prstGeom>
                  </pic:spPr>
                </pic:pic>
              </a:graphicData>
            </a:graphic>
          </wp:inline>
        </w:drawing>
      </w:r>
      <w:r>
        <w:drawing>
          <wp:inline distT="0" distB="0" distL="0" distR="0">
            <wp:extent cx="5598160" cy="3604259"/>
            <wp:docPr id="9" name="_x0000_i1026"/>
            <a:graphic xmlns:a="http://schemas.openxmlformats.org/drawingml/2006/main">
              <a:graphicData uri="http://schemas.openxmlformats.org/drawingml/2006/picture">
                <pic:pic xmlns:pic="http://schemas.openxmlformats.org/drawingml/2006/picture">
                  <pic:nvPicPr>
                    <pic:cNvPr id="2" name="图片 2"/>
                    <pic:cNvPicPr/>
                  </pic:nvPicPr>
                  <pic:blipFill>
                    <a:blip r:embed="rId20"/>
                    <a:stretch>
                      <a:fillRect/>
                    </a:stretch>
                  </pic:blipFill>
                  <pic:spPr>
                    <a:xfrm>
                      <a:off x="0" y="0"/>
                      <a:ext cx="5598160" cy="3604259"/>
                    </a:xfrm>
                    <a:prstGeom prst="rect">
                      <a:avLst/>
                    </a:prstGeom>
                  </pic:spPr>
                </pic:pic>
              </a:graphicData>
            </a:graphic>
          </wp:inline>
        </w:drawing>
      </w:r>
    </w:p>
    <w:p>
      <w:pPr>
        <w:spacing w:line="360" w:lineRule="auto"/>
        <w:ind w:firstLine="539" w:firstLineChars="257"/>
      </w:pPr>
      <w:bookmarkStart w:id="42" w:name="_Toc393354419"/>
      <w:bookmarkEnd w:id="42"/>
      <w:bookmarkStart w:id="177" w:name="_GoBack"/>
      <w:bookmarkEnd w:id="177"/>
      <w:r>
        <w:drawing>
          <wp:inline distT="0" distB="0" distL="0" distR="0">
            <wp:extent cx="5433695" cy="3620770"/>
            <wp:docPr id="10" name="_x0000_i1031"/>
            <a:graphic xmlns:a="http://schemas.openxmlformats.org/drawingml/2006/main">
              <a:graphicData uri="http://schemas.openxmlformats.org/drawingml/2006/picture">
                <pic:pic xmlns:pic="http://schemas.openxmlformats.org/drawingml/2006/picture">
                  <pic:nvPicPr>
                    <pic:cNvPr id="3" name="图片 3"/>
                    <pic:cNvPicPr/>
                  </pic:nvPicPr>
                  <pic:blipFill>
                    <a:blip r:embed="rId21"/>
                    <a:stretch>
                      <a:fillRect/>
                    </a:stretch>
                  </pic:blipFill>
                  <pic:spPr>
                    <a:xfrm>
                      <a:off x="0" y="0"/>
                      <a:ext cx="5433695" cy="3620770"/>
                    </a:xfrm>
                    <a:prstGeom prst="rect">
                      <a:avLst/>
                    </a:prstGeom>
                  </pic:spPr>
                </pic:pic>
              </a:graphicData>
            </a:graphic>
          </wp:inline>
        </w:drawing>
      </w:r>
    </w:p>
    <w:p>
      <w:pPr>
        <w:jc w:val="center"/>
        <w:rPr>
          <w:sz w:val="24"/>
          <w:lang w:val="en-US" w:eastAsia="zh-CN"/>
          <w:rFonts w:hint="default"/>
        </w:rPr>
      </w:pPr>
    </w:p>
    <w:p>
      <w:pPr>
        <w:jc w:val="center"/>
        <w:rPr>
          <w:sz w:val="24"/>
          <w:lang w:val="en-US" w:eastAsia="zh-CN"/>
          <w:rFonts w:hint="default"/>
        </w:rPr>
      </w:pPr>
    </w:p>
    <w:p>
      <w:pPr>
        <w:jc w:val="center"/>
        <w:rPr>
          <w:sz w:val="24"/>
          <w:lang w:val="en-US" w:eastAsia="zh-CN"/>
          <w:rFonts w:hint="default"/>
        </w:rPr>
      </w:pPr>
    </w:p>
    <w:p>
      <w:pPr>
        <w:jc w:val="center"/>
        <w:rPr>
          <w:sz w:val="24"/>
          <w:lang w:val="en-US" w:eastAsia="zh-CN"/>
          <w:rFonts w:hint="default"/>
        </w:rPr>
      </w:pPr>
    </w:p>
    <w:p>
      <w:pPr>
        <w:jc w:val="center"/>
        <w:rPr>
          <w:sz w:val="24"/>
          <w:lang w:val="en-US" w:eastAsia="zh-CN"/>
          <w:rFonts w:hint="default"/>
        </w:rPr>
      </w:pPr>
    </w:p>
    <w:p>
      <w:pPr>
        <w:jc w:val="center"/>
        <w:rPr>
          <w:sz w:val="24"/>
          <w:lang w:val="en-US" w:eastAsia="zh-CN"/>
          <w:rFonts w:hint="default"/>
        </w:rPr>
      </w:pPr>
    </w:p>
    <w:p>
      <w:pPr>
        <w:jc w:val="center"/>
        <w:rPr>
          <w:sz w:val="24"/>
          <w:lang w:val="en-US" w:eastAsia="zh-CN"/>
          <w:rFonts w:hint="default"/>
        </w:rPr>
      </w:pPr>
    </w:p>
    <w:p>
      <w:pPr>
        <w:jc w:val="center"/>
        <w:rPr>
          <w:sz w:val="24"/>
          <w:lang w:val="en-US" w:eastAsia="zh-CN"/>
          <w:rFonts w:hint="default"/>
        </w:rPr>
      </w:pPr>
    </w:p>
    <w:p>
      <w:pPr>
        <w:jc w:val="center"/>
        <w:rPr>
          <w:sz w:val="24"/>
          <w:lang w:val="en-US" w:eastAsia="zh-CN"/>
          <w:rFonts w:hint="default"/>
        </w:rPr>
      </w:pPr>
    </w:p>
    <w:p>
      <w:pPr>
        <w:jc w:val="center"/>
        <w:rPr>
          <w:sz w:val="24"/>
          <w:lang w:val="en-US" w:eastAsia="zh-CN"/>
          <w:rFonts w:hint="default"/>
        </w:rPr>
      </w:pPr>
    </w:p>
    <w:p>
      <w:pPr>
        <w:pStyle w:val="4"/>
        <w:bidi w:val="0"/>
        <w:rPr>
          <w:rFonts w:hint="eastAsia"/>
        </w:rPr>
      </w:pPr>
      <w:bookmarkStart w:id="43" w:name="_Toc6951"/>
      <w:bookmarkStart w:id="44" w:name="_Toc3109"/>
      <w:bookmarkStart w:id="45" w:name="_Toc11962"/>
      <w:bookmarkStart w:id="46" w:name="_Toc9176"/>
      <w:bookmarkStart w:id="47" w:name="_Toc12903"/>
      <w:bookmarkStart w:id="48" w:name="_Toc13658"/>
      <w:bookmarkStart w:id="49" w:name="_Toc12261"/>
      <w:bookmarkStart w:id="50" w:name="_Toc32279"/>
      <w:bookmarkStart w:id="51" w:name="_Toc9354"/>
      <w:bookmarkStart w:id="52" w:name="_Toc28917"/>
      <w:bookmarkStart w:id="53" w:name="_Toc332359789"/>
      <w:bookmarkStart w:id="54" w:name="_Toc15263"/>
      <w:bookmarkStart w:id="55" w:name="_Toc17034"/>
      <w:bookmarkStart w:id="56" w:name="_Toc19682"/>
      <w:bookmarkStart w:id="57" w:name="_Toc27355"/>
      <w:bookmarkStart w:id="58" w:name="_Toc3267"/>
      <w:bookmarkStart w:id="59" w:name="_Toc31922"/>
      <w:bookmarkStart w:id="60" w:name="_Toc3437"/>
      <w:bookmarkStart w:id="61" w:name="_Toc3539"/>
      <w:bookmarkStart w:id="62" w:name="_Toc29951"/>
      <w:bookmarkStart w:id="63" w:name="_Toc21997"/>
      <w:bookmarkStart w:id="64" w:name="_Toc28533"/>
      <w:bookmarkStart w:id="65" w:name="_Toc21716"/>
      <w:bookmarkStart w:id="66" w:name="_Toc30209"/>
      <w:bookmarkStart w:id="67" w:name="_Toc31489"/>
      <w:bookmarkStart w:id="68" w:name="_Toc5508"/>
      <w:bookmarkStart w:id="69" w:name="_Toc8608"/>
      <w:bookmarkStart w:id="70" w:name="_Toc393354422"/>
      <w:bookmarkStart w:id="71" w:name="_Toc25568"/>
    </w:p>
    <w:p>
      <w:pPr>
        <w:pStyle w:val="4"/>
        <w:bidi w:val="0"/>
        <w:rPr>
          <w:rFonts w:hint="eastAsia"/>
        </w:rPr>
      </w:pPr>
    </w:p>
    <w:p>
      <w:pPr>
        <w:pStyle w:val="4"/>
        <w:bidi w:val="0"/>
        <w:rPr>
          <w:rFonts w:hint="eastAsia"/>
        </w:rPr>
      </w:pP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hint="eastAsia"/>
        </w:rPr>
        <w:t>附录A：变压器智能组件监测报警值</w:t>
      </w:r>
      <w:r>
        <w:rPr>
          <w:rFonts w:hint="eastAsia"/>
        </w:rPr>
        <w:t>参考</w:t>
      </w:r>
    </w:p>
    <w:p>
      <w:pPr>
        <w:pStyle w:val="4"/>
        <w:bidi w:val="0"/>
        <w:rPr>
          <w:rFonts w:hint="eastAsia"/>
        </w:rPr>
      </w:pPr>
      <w:bookmarkStart w:id="72" w:name="_Toc8878"/>
      <w:bookmarkStart w:id="73" w:name="_Toc32452"/>
      <w:bookmarkStart w:id="74" w:name="_Toc4216"/>
      <w:bookmarkStart w:id="75" w:name="_Toc15615"/>
      <w:bookmarkStart w:id="76" w:name="_Toc6725"/>
      <w:bookmarkStart w:id="77" w:name="_Toc26433"/>
      <w:bookmarkStart w:id="78" w:name="_Toc32690"/>
      <w:bookmarkStart w:id="79" w:name="_Toc8231"/>
      <w:bookmarkStart w:id="80" w:name="_Toc7770"/>
      <w:bookmarkStart w:id="81" w:name="_Toc332359790"/>
      <w:bookmarkStart w:id="82" w:name="_Toc14175"/>
      <w:bookmarkStart w:id="83" w:name="_Toc14239"/>
      <w:bookmarkStart w:id="84" w:name="_Toc12901"/>
      <w:bookmarkStart w:id="85" w:name="_Toc21409"/>
      <w:bookmarkStart w:id="86" w:name="_Toc29069"/>
      <w:bookmarkStart w:id="87" w:name="_Toc393354423"/>
      <w:bookmarkStart w:id="88" w:name="_Toc4602"/>
      <w:bookmarkStart w:id="89" w:name="_Toc9523"/>
      <w:bookmarkStart w:id="90" w:name="_Toc14870"/>
      <w:bookmarkStart w:id="91" w:name="_Toc25941"/>
      <w:bookmarkStart w:id="92" w:name="_Toc11288"/>
      <w:bookmarkStart w:id="93" w:name="_Toc30881"/>
      <w:bookmarkStart w:id="94" w:name="_Toc31562"/>
      <w:bookmarkStart w:id="95" w:name="_Toc4984"/>
      <w:bookmarkStart w:id="96" w:name="_Toc8777"/>
      <w:bookmarkStart w:id="97" w:name="_Toc4762"/>
      <w:bookmarkStart w:id="98" w:name="_Toc9867"/>
      <w:bookmarkStart w:id="99" w:name="_Toc27489"/>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hint="eastAsia"/>
        </w:rPr>
        <w:t>A.1变压器（电抗器）油中溶解气体报警值</w:t>
      </w:r>
    </w:p>
    <w:p>
      <w:pPr>
        <w:pStyle w:val="9"/>
        <w:bidi w:val="0"/>
      </w:pPr>
      <w:r>
        <w:rPr>
          <w:rFonts w:hint="eastAsia"/>
        </w:rPr>
        <w:t>报警参数及报警值选取依据说明，分两级分别描述报警信号、报警标准、预防或处置措施。</w:t>
      </w:r>
    </w:p>
    <w:p>
      <w:pPr>
        <w:pStyle w:val="9"/>
        <w:bidi w:val="0"/>
        <w:rPr>
          <w:rFonts w:hint="eastAsia"/>
        </w:rPr>
      </w:pPr>
      <w:r>
        <w:rPr>
          <w:rFonts w:hint="eastAsia"/>
        </w:rPr>
        <w:t xml:space="preserve">表1 变压器（电抗器）油中溶解气体报警参数与报警值汇总表                      </w:t>
      </w:r>
    </w:p>
    <w:tbl>
      <w:tblPr>
        <w:tblStyle w:val="15"/>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Layout w:type="fixed"/>
      </w:tblPr>
      <w:tblGrid>
        <w:gridCol w:w="892.000000"/>
        <w:gridCol w:w="2414.000000"/>
        <w:gridCol w:w="1450.000000"/>
        <w:gridCol w:w="1175.000000"/>
        <w:gridCol w:w="1117.000000"/>
        <w:gridCol w:w="1049.000000"/>
        <w:gridCol w:w="1189.0000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435" w:hRule="atLeast"/>
          <w:jc w:val="center"/>
        </w:trPr>
        <w:tc>
          <w:tcPr>
            <w:tcW w:w="892" w:type="dxa"/>
            <w:vAlign w:val="center"/>
            <w:noWrap w:val="0"/>
          </w:tcPr>
          <w:p>
            <w:pPr>
              <w:pStyle w:val="9"/>
              <w:bidi w:val="0"/>
              <w:rPr>
                <w:rFonts w:hint="eastAsia"/>
              </w:rPr>
            </w:pPr>
            <w:r>
              <w:rPr>
                <w:rFonts w:hint="eastAsia"/>
              </w:rPr>
              <w:t>序号</w:t>
            </w:r>
          </w:p>
        </w:tc>
        <w:tc>
          <w:tcPr>
            <w:tcW w:w="2414" w:type="dxa"/>
            <w:vAlign w:val="center"/>
            <w:noWrap w:val="0"/>
          </w:tcPr>
          <w:p>
            <w:pPr>
              <w:pStyle w:val="9"/>
              <w:bidi w:val="0"/>
              <w:rPr>
                <w:rFonts w:hint="eastAsia"/>
              </w:rPr>
            </w:pPr>
            <w:r>
              <w:rPr>
                <w:rFonts w:hint="eastAsia"/>
              </w:rPr>
              <w:t>报警参数</w:t>
            </w:r>
          </w:p>
        </w:tc>
        <w:tc>
          <w:tcPr>
            <w:tcW w:w="1450" w:type="dxa"/>
            <w:vAlign w:val="center"/>
            <w:noWrap w:val="0"/>
          </w:tcPr>
          <w:p>
            <w:pPr>
              <w:pStyle w:val="9"/>
              <w:bidi w:val="0"/>
              <w:rPr>
                <w:rFonts w:hint="eastAsia"/>
              </w:rPr>
            </w:pPr>
            <w:r>
              <w:rPr>
                <w:rFonts w:hint="eastAsia"/>
              </w:rPr>
              <w:t>电压等级</w:t>
            </w:r>
          </w:p>
        </w:tc>
        <w:tc>
          <w:tcPr>
            <w:tcW w:w="1175" w:type="dxa"/>
            <w:vAlign w:val="center"/>
            <w:noWrap w:val="0"/>
          </w:tcPr>
          <w:p>
            <w:pPr>
              <w:pStyle w:val="9"/>
              <w:bidi w:val="0"/>
              <w:rPr>
                <w:rFonts w:hint="eastAsia"/>
              </w:rPr>
            </w:pPr>
            <w:r>
              <w:rPr>
                <w:rFonts w:hint="eastAsia"/>
              </w:rPr>
              <w:t>油枕结构</w:t>
            </w:r>
          </w:p>
        </w:tc>
        <w:tc>
          <w:tcPr>
            <w:tcW w:w="1117" w:type="dxa"/>
            <w:vAlign w:val="center"/>
            <w:noWrap w:val="0"/>
          </w:tcPr>
          <w:p>
            <w:pPr>
              <w:pStyle w:val="9"/>
              <w:bidi w:val="0"/>
              <w:rPr>
                <w:rFonts w:hint="eastAsia"/>
              </w:rPr>
            </w:pPr>
            <w:r>
              <w:rPr>
                <w:rFonts w:hint="eastAsia"/>
              </w:rPr>
              <w:t>正常范围</w:t>
            </w:r>
          </w:p>
        </w:tc>
        <w:tc>
          <w:tcPr>
            <w:tcW w:w="1049" w:type="dxa"/>
            <w:vAlign w:val="center"/>
            <w:noWrap w:val="0"/>
          </w:tcPr>
          <w:p>
            <w:pPr>
              <w:pStyle w:val="9"/>
              <w:bidi w:val="0"/>
              <w:rPr>
                <w:rFonts w:hint="eastAsia"/>
              </w:rPr>
            </w:pPr>
            <w:r>
              <w:rPr>
                <w:rFonts w:hint="eastAsia"/>
              </w:rPr>
              <w:t>预警值</w:t>
            </w:r>
          </w:p>
        </w:tc>
        <w:tc>
          <w:tcPr>
            <w:tcW w:w="1189" w:type="dxa"/>
            <w:vAlign w:val="center"/>
            <w:noWrap w:val="0"/>
          </w:tcPr>
          <w:p>
            <w:pPr>
              <w:pStyle w:val="9"/>
              <w:bidi w:val="0"/>
              <w:rPr>
                <w:rFonts w:hint="eastAsia"/>
              </w:rPr>
            </w:pPr>
            <w:r>
              <w:rPr>
                <w:rFonts w:hint="eastAsia"/>
              </w:rPr>
              <w:t>报警值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515" w:hRule="atLeast"/>
          <w:jc w:val="center"/>
        </w:trPr>
        <w:tc>
          <w:tcPr>
            <w:tcW w:w="892" w:type="dxa"/>
            <w:vAlign w:val="center"/>
            <w:noWrap w:val="0"/>
          </w:tcPr>
          <w:p>
            <w:pPr>
              <w:pStyle w:val="9"/>
              <w:bidi w:val="0"/>
              <w:rPr>
                <w:rFonts w:hint="eastAsia"/>
              </w:rPr>
            </w:pPr>
            <w:r>
              <w:rPr>
                <w:rFonts w:hint="eastAsia"/>
              </w:rPr>
              <w:t>1</w:t>
            </w:r>
          </w:p>
        </w:tc>
        <w:tc>
          <w:tcPr>
            <w:tcW w:w="2414" w:type="dxa"/>
            <w:vAlign w:val="center"/>
            <w:noWrap w:val="0"/>
          </w:tcPr>
          <w:p>
            <w:pPr>
              <w:pStyle w:val="9"/>
              <w:bidi w:val="0"/>
              <w:rPr>
                <w:rFonts w:hint="eastAsia"/>
              </w:rPr>
            </w:pPr>
            <w:r>
              <w:rPr>
                <w:rFonts w:hint="eastAsia"/>
              </w:rPr>
              <w:t>氢气值（μL/L）</w:t>
            </w:r>
          </w:p>
        </w:tc>
        <w:tc>
          <w:tcPr>
            <w:tcW w:w="1450" w:type="dxa"/>
            <w:vAlign w:val="center"/>
            <w:noWrap w:val="0"/>
          </w:tcPr>
          <w:p>
            <w:pPr>
              <w:pStyle w:val="9"/>
              <w:bidi w:val="0"/>
              <w:rPr>
                <w:rFonts w:hint="eastAsia"/>
              </w:rPr>
            </w:pPr>
            <w:r>
              <w:rPr>
                <w:rFonts w:hint="eastAsia"/>
              </w:rPr>
              <w:t>110kV及以上</w:t>
            </w:r>
          </w:p>
        </w:tc>
        <w:tc>
          <w:tcPr>
            <w:tcW w:w="1175" w:type="dxa"/>
            <w:vAlign w:val="center"/>
            <w:noWrap w:val="0"/>
          </w:tcPr>
          <w:p>
            <w:pPr>
              <w:pStyle w:val="9"/>
              <w:bidi w:val="0"/>
              <w:rPr>
                <w:rFonts w:hint="eastAsia"/>
              </w:rPr>
            </w:pPr>
            <w:r>
              <w:rPr>
                <w:rFonts w:hint="eastAsia"/>
              </w:rPr>
              <w:t>隔膜式</w:t>
            </w:r>
          </w:p>
        </w:tc>
        <w:tc>
          <w:tcPr>
            <w:tcW w:w="1117" w:type="dxa"/>
            <w:vAlign w:val="center"/>
            <w:noWrap w:val="0"/>
          </w:tcPr>
          <w:p>
            <w:pPr>
              <w:pStyle w:val="9"/>
              <w:bidi w:val="0"/>
              <w:rPr>
                <w:rFonts w:hint="eastAsia"/>
              </w:rPr>
            </w:pPr>
            <w:r>
              <w:rPr>
                <w:rFonts w:hint="eastAsia"/>
              </w:rPr>
              <w:t>&lt;120</w:t>
            </w:r>
          </w:p>
        </w:tc>
        <w:tc>
          <w:tcPr>
            <w:tcW w:w="1049" w:type="dxa"/>
            <w:vAlign w:val="center"/>
            <w:noWrap w:val="0"/>
          </w:tcPr>
          <w:p>
            <w:pPr>
              <w:pStyle w:val="9"/>
              <w:bidi w:val="0"/>
              <w:rPr>
                <w:rFonts w:hint="eastAsia"/>
              </w:rPr>
            </w:pPr>
            <w:r>
              <w:rPr>
                <w:rFonts w:hint="eastAsia"/>
              </w:rPr>
              <w:t>120</w:t>
            </w:r>
          </w:p>
        </w:tc>
        <w:tc>
          <w:tcPr>
            <w:tcW w:w="1189" w:type="dxa"/>
            <w:vAlign w:val="center"/>
            <w:noWrap w:val="0"/>
          </w:tcPr>
          <w:p>
            <w:pPr>
              <w:pStyle w:val="9"/>
              <w:bidi w:val="0"/>
              <w:rPr>
                <w:rFonts w:hint="eastAsia"/>
              </w:rPr>
            </w:pPr>
            <w:r>
              <w:rPr>
                <w:rFonts w:hint="eastAsia"/>
              </w:rPr>
              <w:t>&gt;150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315" w:hRule="atLeast"/>
          <w:jc w:val="center"/>
        </w:trPr>
        <w:tc>
          <w:tcPr>
            <w:tcW w:w="892" w:type="dxa"/>
            <w:vAlign w:val="center"/>
            <w:noWrap w:val="0"/>
          </w:tcPr>
          <w:p>
            <w:pPr>
              <w:pStyle w:val="9"/>
              <w:bidi w:val="0"/>
              <w:rPr>
                <w:rFonts w:hint="eastAsia"/>
              </w:rPr>
            </w:pPr>
            <w:r>
              <w:rPr>
                <w:rFonts w:hint="eastAsia"/>
              </w:rPr>
              <w:t>2</w:t>
            </w:r>
          </w:p>
        </w:tc>
        <w:tc>
          <w:tcPr>
            <w:tcW w:w="2414" w:type="dxa"/>
            <w:vAlign w:val="center"/>
            <w:noWrap w:val="0"/>
          </w:tcPr>
          <w:p>
            <w:pPr>
              <w:pStyle w:val="9"/>
              <w:bidi w:val="0"/>
              <w:rPr>
                <w:rFonts w:hint="eastAsia"/>
              </w:rPr>
            </w:pPr>
            <w:r>
              <w:rPr>
                <w:rFonts w:hint="eastAsia"/>
              </w:rPr>
              <w:t>氢气绝对产气速率ml/天</w:t>
            </w:r>
          </w:p>
        </w:tc>
        <w:tc>
          <w:tcPr>
            <w:tcW w:w="1450" w:type="dxa"/>
            <w:vAlign w:val="center"/>
            <w:noWrap w:val="0"/>
          </w:tcPr>
          <w:p>
            <w:pPr>
              <w:pStyle w:val="9"/>
              <w:bidi w:val="0"/>
              <w:rPr>
                <w:rFonts w:hint="eastAsia"/>
              </w:rPr>
            </w:pPr>
            <w:r>
              <w:rPr>
                <w:rFonts w:hint="eastAsia"/>
              </w:rPr>
              <w:t>110kV及以上</w:t>
            </w:r>
          </w:p>
        </w:tc>
        <w:tc>
          <w:tcPr>
            <w:tcW w:w="1175" w:type="dxa"/>
            <w:vAlign w:val="center"/>
            <w:noWrap w:val="0"/>
          </w:tcPr>
          <w:p>
            <w:pPr>
              <w:pStyle w:val="9"/>
              <w:bidi w:val="0"/>
              <w:rPr>
                <w:rFonts w:hint="eastAsia"/>
              </w:rPr>
            </w:pPr>
            <w:r>
              <w:rPr>
                <w:rFonts w:hint="eastAsia"/>
              </w:rPr>
              <w:t>隔膜式</w:t>
            </w:r>
          </w:p>
        </w:tc>
        <w:tc>
          <w:tcPr>
            <w:tcW w:w="1117" w:type="dxa"/>
            <w:vAlign w:val="center"/>
            <w:noWrap w:val="0"/>
          </w:tcPr>
          <w:p>
            <w:pPr>
              <w:pStyle w:val="9"/>
              <w:bidi w:val="0"/>
              <w:rPr>
                <w:rFonts w:hint="eastAsia"/>
              </w:rPr>
            </w:pPr>
            <w:r>
              <w:rPr>
                <w:rFonts w:hint="eastAsia"/>
              </w:rPr>
              <w:t>&lt;3</w:t>
            </w:r>
          </w:p>
        </w:tc>
        <w:tc>
          <w:tcPr>
            <w:tcW w:w="1049" w:type="dxa"/>
            <w:vAlign w:val="center"/>
            <w:noWrap w:val="0"/>
          </w:tcPr>
          <w:p>
            <w:pPr>
              <w:pStyle w:val="9"/>
              <w:bidi w:val="0"/>
              <w:rPr>
                <w:rFonts w:hint="eastAsia"/>
              </w:rPr>
            </w:pPr>
            <w:r>
              <w:rPr>
                <w:rFonts w:hint="eastAsia"/>
              </w:rPr>
              <w:t>3</w:t>
            </w:r>
          </w:p>
        </w:tc>
        <w:tc>
          <w:tcPr>
            <w:tcW w:w="1189" w:type="dxa"/>
            <w:vAlign w:val="center"/>
            <w:noWrap w:val="0"/>
          </w:tcPr>
          <w:p>
            <w:pPr>
              <w:pStyle w:val="9"/>
              <w:bidi w:val="0"/>
              <w:rPr>
                <w:rFonts w:hint="eastAsia"/>
              </w:rPr>
            </w:pPr>
            <w:r>
              <w:rPr>
                <w:rFonts w:hint="eastAsia"/>
              </w:rPr>
              <w:t>&gt;10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315" w:hRule="atLeast"/>
          <w:jc w:val="center"/>
        </w:trPr>
        <w:tc>
          <w:tcPr>
            <w:tcW w:w="892" w:type="dxa"/>
            <w:vAlign w:val="center"/>
            <w:noWrap w:val="0"/>
          </w:tcPr>
          <w:p>
            <w:pPr>
              <w:pStyle w:val="9"/>
              <w:bidi w:val="0"/>
              <w:rPr>
                <w:rFonts w:hint="eastAsia"/>
              </w:rPr>
            </w:pPr>
            <w:r>
              <w:rPr>
                <w:rFonts w:hint="eastAsia"/>
              </w:rPr>
              <w:t>3</w:t>
            </w:r>
          </w:p>
        </w:tc>
        <w:tc>
          <w:tcPr>
            <w:tcW w:w="2414" w:type="dxa"/>
            <w:vAlign w:val="center"/>
            <w:noWrap w:val="0"/>
          </w:tcPr>
          <w:p>
            <w:pPr>
              <w:pStyle w:val="9"/>
              <w:bidi w:val="0"/>
              <w:rPr>
                <w:rFonts w:hint="eastAsia"/>
              </w:rPr>
            </w:pPr>
            <w:r>
              <w:rPr>
                <w:rFonts w:hint="eastAsia"/>
              </w:rPr>
              <w:t>氢气绝对产气速率ml/天</w:t>
            </w:r>
          </w:p>
        </w:tc>
        <w:tc>
          <w:tcPr>
            <w:tcW w:w="1450" w:type="dxa"/>
            <w:vAlign w:val="center"/>
            <w:noWrap w:val="0"/>
          </w:tcPr>
          <w:p>
            <w:pPr>
              <w:pStyle w:val="9"/>
              <w:bidi w:val="0"/>
              <w:rPr>
                <w:rFonts w:hint="eastAsia"/>
              </w:rPr>
            </w:pPr>
            <w:r>
              <w:rPr>
                <w:rFonts w:hint="eastAsia"/>
              </w:rPr>
              <w:t>110kV及以上</w:t>
            </w:r>
          </w:p>
        </w:tc>
        <w:tc>
          <w:tcPr>
            <w:tcW w:w="1175" w:type="dxa"/>
            <w:vAlign w:val="center"/>
            <w:noWrap w:val="0"/>
          </w:tcPr>
          <w:p>
            <w:pPr>
              <w:pStyle w:val="9"/>
              <w:bidi w:val="0"/>
              <w:rPr>
                <w:rFonts w:hint="eastAsia"/>
              </w:rPr>
            </w:pPr>
            <w:r>
              <w:rPr>
                <w:rFonts w:hint="eastAsia"/>
              </w:rPr>
              <w:t>开放式</w:t>
            </w:r>
          </w:p>
        </w:tc>
        <w:tc>
          <w:tcPr>
            <w:tcW w:w="1117" w:type="dxa"/>
            <w:vAlign w:val="center"/>
            <w:noWrap w:val="0"/>
          </w:tcPr>
          <w:p>
            <w:pPr>
              <w:pStyle w:val="9"/>
              <w:bidi w:val="0"/>
              <w:rPr>
                <w:rFonts w:hint="eastAsia"/>
              </w:rPr>
            </w:pPr>
            <w:r>
              <w:rPr>
                <w:rFonts w:hint="eastAsia"/>
              </w:rPr>
              <w:t>&lt;1.5</w:t>
            </w:r>
          </w:p>
        </w:tc>
        <w:tc>
          <w:tcPr>
            <w:tcW w:w="1049" w:type="dxa"/>
            <w:vAlign w:val="center"/>
            <w:noWrap w:val="0"/>
          </w:tcPr>
          <w:p>
            <w:pPr>
              <w:pStyle w:val="9"/>
              <w:bidi w:val="0"/>
              <w:rPr>
                <w:rFonts w:hint="eastAsia"/>
              </w:rPr>
            </w:pPr>
            <w:r>
              <w:rPr>
                <w:rFonts w:hint="eastAsia"/>
              </w:rPr>
              <w:t>1.5</w:t>
            </w:r>
          </w:p>
        </w:tc>
        <w:tc>
          <w:tcPr>
            <w:tcW w:w="1189" w:type="dxa"/>
            <w:vAlign w:val="center"/>
            <w:noWrap w:val="0"/>
          </w:tcPr>
          <w:p>
            <w:pPr>
              <w:pStyle w:val="9"/>
              <w:bidi w:val="0"/>
              <w:rPr>
                <w:rFonts w:hint="eastAsia"/>
              </w:rPr>
            </w:pPr>
            <w:r>
              <w:rPr>
                <w:rFonts w:hint="eastAsia"/>
              </w:rPr>
              <w:t>&gt;5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315" w:hRule="atLeast"/>
          <w:jc w:val="center"/>
        </w:trPr>
        <w:tc>
          <w:tcPr>
            <w:tcW w:w="892" w:type="dxa"/>
            <w:vAlign w:val="center"/>
            <w:noWrap w:val="0"/>
          </w:tcPr>
          <w:p>
            <w:pPr>
              <w:pStyle w:val="9"/>
              <w:bidi w:val="0"/>
              <w:rPr>
                <w:rFonts w:hint="eastAsia"/>
              </w:rPr>
            </w:pPr>
            <w:r>
              <w:rPr>
                <w:rFonts w:hint="eastAsia"/>
              </w:rPr>
              <w:t>4</w:t>
            </w:r>
          </w:p>
        </w:tc>
        <w:tc>
          <w:tcPr>
            <w:tcW w:w="2414" w:type="dxa"/>
            <w:vAlign w:val="center"/>
            <w:noWrap w:val="0"/>
          </w:tcPr>
          <w:p>
            <w:pPr>
              <w:pStyle w:val="9"/>
              <w:bidi w:val="0"/>
              <w:rPr>
                <w:rFonts w:hint="eastAsia"/>
              </w:rPr>
            </w:pPr>
            <w:r>
              <w:rPr>
                <w:rFonts w:hint="eastAsia"/>
              </w:rPr>
              <w:t>氢气相对产气速率(%/月)</w:t>
            </w:r>
          </w:p>
        </w:tc>
        <w:tc>
          <w:tcPr>
            <w:tcW w:w="1450" w:type="dxa"/>
            <w:vAlign w:val="center"/>
            <w:noWrap w:val="0"/>
          </w:tcPr>
          <w:p>
            <w:pPr>
              <w:pStyle w:val="9"/>
              <w:bidi w:val="0"/>
              <w:rPr>
                <w:rFonts w:hint="eastAsia"/>
              </w:rPr>
            </w:pPr>
            <w:r>
              <w:rPr>
                <w:rFonts w:hint="eastAsia"/>
              </w:rPr>
              <w:t>110kV及以上</w:t>
            </w:r>
          </w:p>
        </w:tc>
        <w:tc>
          <w:tcPr>
            <w:tcW w:w="1175" w:type="dxa"/>
            <w:vAlign w:val="center"/>
            <w:noWrap w:val="0"/>
          </w:tcPr>
          <w:p>
            <w:pPr>
              <w:pStyle w:val="9"/>
              <w:bidi w:val="0"/>
              <w:rPr>
                <w:rFonts w:hint="eastAsia"/>
              </w:rPr>
            </w:pPr>
            <w:r>
              <w:rPr>
                <w:rFonts w:hint="eastAsia"/>
              </w:rPr>
              <w:t>隔膜式</w:t>
            </w:r>
          </w:p>
        </w:tc>
        <w:tc>
          <w:tcPr>
            <w:tcW w:w="1117" w:type="dxa"/>
            <w:vAlign w:val="center"/>
            <w:noWrap w:val="0"/>
          </w:tcPr>
          <w:p>
            <w:pPr>
              <w:pStyle w:val="9"/>
              <w:bidi w:val="0"/>
              <w:rPr>
                <w:rFonts w:hint="eastAsia"/>
              </w:rPr>
            </w:pPr>
            <w:r>
              <w:rPr>
                <w:rFonts w:hint="eastAsia"/>
              </w:rPr>
              <w:t>&lt;6</w:t>
            </w:r>
          </w:p>
        </w:tc>
        <w:tc>
          <w:tcPr>
            <w:tcW w:w="1049" w:type="dxa"/>
            <w:vAlign w:val="center"/>
            <w:noWrap w:val="0"/>
          </w:tcPr>
          <w:p>
            <w:pPr>
              <w:pStyle w:val="9"/>
              <w:bidi w:val="0"/>
              <w:rPr>
                <w:rFonts w:hint="eastAsia"/>
              </w:rPr>
            </w:pPr>
            <w:r>
              <w:rPr>
                <w:rFonts w:hint="eastAsia"/>
              </w:rPr>
              <w:t>6</w:t>
            </w:r>
          </w:p>
        </w:tc>
        <w:tc>
          <w:tcPr>
            <w:tcW w:w="1189" w:type="dxa"/>
            <w:vAlign w:val="center"/>
            <w:noWrap w:val="0"/>
          </w:tcPr>
          <w:p>
            <w:pPr>
              <w:pStyle w:val="9"/>
              <w:bidi w:val="0"/>
              <w:rPr>
                <w:rFonts w:hint="eastAsia"/>
              </w:rPr>
            </w:pPr>
            <w:r>
              <w:rPr>
                <w:rFonts w:hint="eastAsia"/>
              </w:rPr>
              <w:t>&gt;10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291" w:hRule="atLeast"/>
          <w:jc w:val="center"/>
        </w:trPr>
        <w:tc>
          <w:tcPr>
            <w:tcW w:w="892" w:type="dxa"/>
            <w:vAlign w:val="center"/>
            <w:noWrap w:val="0"/>
          </w:tcPr>
          <w:p>
            <w:pPr>
              <w:pStyle w:val="9"/>
              <w:bidi w:val="0"/>
              <w:rPr>
                <w:rFonts w:hint="eastAsia"/>
              </w:rPr>
            </w:pPr>
            <w:r>
              <w:rPr>
                <w:rFonts w:hint="eastAsia"/>
              </w:rPr>
              <w:t>5</w:t>
            </w:r>
          </w:p>
        </w:tc>
        <w:tc>
          <w:tcPr>
            <w:tcW w:w="2414" w:type="dxa"/>
            <w:vAlign w:val="center"/>
            <w:noWrap w:val="0"/>
          </w:tcPr>
          <w:p>
            <w:pPr>
              <w:pStyle w:val="9"/>
              <w:bidi w:val="0"/>
              <w:rPr>
                <w:rFonts w:hint="eastAsia"/>
              </w:rPr>
            </w:pPr>
            <w:r>
              <w:rPr>
                <w:rFonts w:hint="eastAsia"/>
              </w:rPr>
              <w:t>乙炔值（μL/L）</w:t>
            </w:r>
          </w:p>
        </w:tc>
        <w:tc>
          <w:tcPr>
            <w:tcW w:w="1450" w:type="dxa"/>
            <w:vAlign w:val="center"/>
            <w:noWrap w:val="0"/>
          </w:tcPr>
          <w:p>
            <w:pPr>
              <w:pStyle w:val="9"/>
              <w:bidi w:val="0"/>
              <w:rPr>
                <w:rFonts w:hint="eastAsia"/>
              </w:rPr>
            </w:pPr>
            <w:r>
              <w:rPr>
                <w:rFonts w:hint="eastAsia"/>
              </w:rPr>
              <w:t>220kV及以上</w:t>
            </w:r>
          </w:p>
        </w:tc>
        <w:tc>
          <w:tcPr>
            <w:tcW w:w="1175" w:type="dxa"/>
            <w:vAlign w:val="center"/>
            <w:noWrap w:val="0"/>
          </w:tcPr>
          <w:p>
            <w:pPr>
              <w:pStyle w:val="9"/>
              <w:bidi w:val="0"/>
              <w:rPr>
                <w:rFonts w:hint="eastAsia"/>
              </w:rPr>
            </w:pPr>
            <w:r>
              <w:rPr>
                <w:rFonts w:hint="eastAsia"/>
              </w:rPr>
              <w:t>隔膜式</w:t>
            </w:r>
          </w:p>
        </w:tc>
        <w:tc>
          <w:tcPr>
            <w:tcW w:w="1117" w:type="dxa"/>
            <w:vAlign w:val="center"/>
            <w:noWrap w:val="0"/>
          </w:tcPr>
          <w:p>
            <w:pPr>
              <w:pStyle w:val="9"/>
              <w:bidi w:val="0"/>
              <w:rPr>
                <w:rFonts w:hint="eastAsia"/>
              </w:rPr>
            </w:pPr>
            <w:r>
              <w:rPr>
                <w:rFonts w:hint="eastAsia"/>
              </w:rPr>
              <w:t>&lt;0.3</w:t>
            </w:r>
          </w:p>
        </w:tc>
        <w:tc>
          <w:tcPr>
            <w:tcW w:w="1049" w:type="dxa"/>
            <w:vAlign w:val="center"/>
            <w:noWrap w:val="0"/>
          </w:tcPr>
          <w:p>
            <w:pPr>
              <w:pStyle w:val="9"/>
              <w:bidi w:val="0"/>
              <w:rPr>
                <w:rFonts w:hint="eastAsia"/>
              </w:rPr>
            </w:pPr>
            <w:r>
              <w:rPr>
                <w:rFonts w:hint="eastAsia"/>
              </w:rPr>
              <w:t>0.3</w:t>
            </w:r>
          </w:p>
        </w:tc>
        <w:tc>
          <w:tcPr>
            <w:tcW w:w="1189" w:type="dxa"/>
            <w:vAlign w:val="center"/>
            <w:noWrap w:val="0"/>
          </w:tcPr>
          <w:p>
            <w:pPr>
              <w:pStyle w:val="9"/>
              <w:bidi w:val="0"/>
              <w:rPr>
                <w:rFonts w:hint="eastAsia"/>
              </w:rPr>
            </w:pPr>
            <w:r>
              <w:rPr>
                <w:rFonts w:hint="eastAsia"/>
              </w:rPr>
              <w:t>&gt;1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291" w:hRule="atLeast"/>
          <w:jc w:val="center"/>
        </w:trPr>
        <w:tc>
          <w:tcPr>
            <w:tcW w:w="892" w:type="dxa"/>
            <w:vAlign w:val="center"/>
            <w:noWrap w:val="0"/>
          </w:tcPr>
          <w:p>
            <w:pPr>
              <w:pStyle w:val="9"/>
              <w:bidi w:val="0"/>
              <w:rPr>
                <w:rFonts w:hint="eastAsia"/>
              </w:rPr>
            </w:pPr>
            <w:r>
              <w:rPr>
                <w:rFonts w:hint="eastAsia"/>
              </w:rPr>
              <w:t>6</w:t>
            </w:r>
          </w:p>
        </w:tc>
        <w:tc>
          <w:tcPr>
            <w:tcW w:w="2414" w:type="dxa"/>
            <w:vAlign w:val="center"/>
            <w:noWrap w:val="0"/>
          </w:tcPr>
          <w:p>
            <w:pPr>
              <w:pStyle w:val="9"/>
              <w:bidi w:val="0"/>
              <w:rPr>
                <w:rFonts w:hint="eastAsia"/>
              </w:rPr>
            </w:pPr>
            <w:r>
              <w:rPr>
                <w:rFonts w:hint="eastAsia"/>
              </w:rPr>
              <w:t>乙炔值（μL/L）</w:t>
            </w:r>
          </w:p>
        </w:tc>
        <w:tc>
          <w:tcPr>
            <w:tcW w:w="1450" w:type="dxa"/>
            <w:vAlign w:val="center"/>
            <w:noWrap w:val="0"/>
          </w:tcPr>
          <w:p>
            <w:pPr>
              <w:pStyle w:val="9"/>
              <w:bidi w:val="0"/>
              <w:rPr>
                <w:rFonts w:hint="eastAsia"/>
              </w:rPr>
            </w:pPr>
            <w:r>
              <w:rPr>
                <w:rFonts w:hint="eastAsia"/>
              </w:rPr>
              <w:t>110kV</w:t>
            </w:r>
          </w:p>
        </w:tc>
        <w:tc>
          <w:tcPr>
            <w:tcW w:w="1175" w:type="dxa"/>
            <w:vAlign w:val="center"/>
            <w:noWrap w:val="0"/>
          </w:tcPr>
          <w:p>
            <w:pPr>
              <w:pStyle w:val="9"/>
              <w:bidi w:val="0"/>
              <w:rPr>
                <w:rFonts w:hint="eastAsia"/>
              </w:rPr>
            </w:pPr>
            <w:r>
              <w:rPr>
                <w:rFonts w:hint="eastAsia"/>
              </w:rPr>
              <w:t>隔膜式</w:t>
            </w:r>
          </w:p>
        </w:tc>
        <w:tc>
          <w:tcPr>
            <w:tcW w:w="1117" w:type="dxa"/>
            <w:vAlign w:val="center"/>
            <w:noWrap w:val="0"/>
          </w:tcPr>
          <w:p>
            <w:pPr>
              <w:pStyle w:val="9"/>
              <w:bidi w:val="0"/>
              <w:rPr>
                <w:rFonts w:hint="eastAsia"/>
              </w:rPr>
            </w:pPr>
            <w:r>
              <w:rPr>
                <w:rFonts w:hint="eastAsia"/>
              </w:rPr>
              <w:t>&lt;1.5</w:t>
            </w:r>
          </w:p>
        </w:tc>
        <w:tc>
          <w:tcPr>
            <w:tcW w:w="1049" w:type="dxa"/>
            <w:vAlign w:val="center"/>
            <w:noWrap w:val="0"/>
          </w:tcPr>
          <w:p>
            <w:pPr>
              <w:pStyle w:val="9"/>
              <w:bidi w:val="0"/>
              <w:rPr>
                <w:rFonts w:hint="eastAsia"/>
              </w:rPr>
            </w:pPr>
            <w:r>
              <w:rPr>
                <w:rFonts w:hint="eastAsia"/>
              </w:rPr>
              <w:t>1.5</w:t>
            </w:r>
          </w:p>
        </w:tc>
        <w:tc>
          <w:tcPr>
            <w:tcW w:w="1189" w:type="dxa"/>
            <w:vAlign w:val="center"/>
            <w:noWrap w:val="0"/>
          </w:tcPr>
          <w:p>
            <w:pPr>
              <w:pStyle w:val="9"/>
              <w:bidi w:val="0"/>
              <w:rPr>
                <w:rFonts w:hint="eastAsia"/>
              </w:rPr>
            </w:pPr>
            <w:r>
              <w:rPr>
                <w:rFonts w:hint="eastAsia"/>
              </w:rPr>
              <w:t>&gt;5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515" w:hRule="atLeast"/>
          <w:jc w:val="center"/>
        </w:trPr>
        <w:tc>
          <w:tcPr>
            <w:tcW w:w="892" w:type="dxa"/>
            <w:vAlign w:val="center"/>
            <w:noWrap w:val="0"/>
          </w:tcPr>
          <w:p>
            <w:pPr>
              <w:pStyle w:val="9"/>
              <w:bidi w:val="0"/>
              <w:rPr>
                <w:rFonts w:hint="eastAsia"/>
              </w:rPr>
            </w:pPr>
            <w:r>
              <w:rPr>
                <w:rFonts w:hint="eastAsia"/>
              </w:rPr>
              <w:t>7</w:t>
            </w:r>
          </w:p>
        </w:tc>
        <w:tc>
          <w:tcPr>
            <w:tcW w:w="2414" w:type="dxa"/>
            <w:vAlign w:val="center"/>
            <w:noWrap w:val="0"/>
          </w:tcPr>
          <w:p>
            <w:pPr>
              <w:pStyle w:val="9"/>
              <w:bidi w:val="0"/>
              <w:rPr>
                <w:rFonts w:hint="eastAsia"/>
              </w:rPr>
            </w:pPr>
            <w:r>
              <w:rPr>
                <w:rFonts w:hint="eastAsia"/>
              </w:rPr>
              <w:t>乙炔绝对产气速率ml/天</w:t>
            </w:r>
          </w:p>
        </w:tc>
        <w:tc>
          <w:tcPr>
            <w:tcW w:w="1450" w:type="dxa"/>
            <w:vAlign w:val="center"/>
            <w:noWrap w:val="0"/>
          </w:tcPr>
          <w:p>
            <w:pPr>
              <w:pStyle w:val="9"/>
              <w:bidi w:val="0"/>
              <w:rPr>
                <w:rFonts w:hint="eastAsia"/>
              </w:rPr>
            </w:pPr>
            <w:r>
              <w:rPr>
                <w:rFonts w:hint="eastAsia"/>
              </w:rPr>
              <w:t>110kV及以上</w:t>
            </w:r>
          </w:p>
        </w:tc>
        <w:tc>
          <w:tcPr>
            <w:tcW w:w="1175" w:type="dxa"/>
            <w:vAlign w:val="center"/>
            <w:noWrap w:val="0"/>
          </w:tcPr>
          <w:p>
            <w:pPr>
              <w:pStyle w:val="9"/>
              <w:bidi w:val="0"/>
              <w:rPr>
                <w:rFonts w:hint="eastAsia"/>
              </w:rPr>
            </w:pPr>
            <w:r>
              <w:rPr>
                <w:rFonts w:hint="eastAsia"/>
              </w:rPr>
              <w:t>隔膜式</w:t>
            </w:r>
          </w:p>
        </w:tc>
        <w:tc>
          <w:tcPr>
            <w:tcW w:w="1117" w:type="dxa"/>
            <w:vAlign w:val="center"/>
            <w:noWrap w:val="0"/>
          </w:tcPr>
          <w:p>
            <w:pPr>
              <w:pStyle w:val="9"/>
              <w:bidi w:val="0"/>
              <w:rPr>
                <w:rFonts w:hint="eastAsia"/>
              </w:rPr>
            </w:pPr>
            <w:r>
              <w:rPr>
                <w:rFonts w:hint="eastAsia"/>
              </w:rPr>
              <w:t>&lt;0.06</w:t>
            </w:r>
          </w:p>
        </w:tc>
        <w:tc>
          <w:tcPr>
            <w:tcW w:w="1049" w:type="dxa"/>
            <w:vAlign w:val="center"/>
            <w:noWrap w:val="0"/>
          </w:tcPr>
          <w:p>
            <w:pPr>
              <w:pStyle w:val="9"/>
              <w:bidi w:val="0"/>
              <w:rPr>
                <w:rFonts w:hint="eastAsia"/>
              </w:rPr>
            </w:pPr>
            <w:r>
              <w:rPr>
                <w:rFonts w:hint="eastAsia"/>
              </w:rPr>
              <w:t>0.06</w:t>
            </w:r>
          </w:p>
        </w:tc>
        <w:tc>
          <w:tcPr>
            <w:tcW w:w="1189" w:type="dxa"/>
            <w:vAlign w:val="center"/>
            <w:noWrap w:val="0"/>
          </w:tcPr>
          <w:p>
            <w:pPr>
              <w:pStyle w:val="9"/>
              <w:bidi w:val="0"/>
              <w:rPr>
                <w:rFonts w:hint="eastAsia"/>
              </w:rPr>
            </w:pPr>
            <w:r>
              <w:rPr>
                <w:rFonts w:hint="eastAsia"/>
              </w:rPr>
              <w:t>&gt;0.2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515" w:hRule="atLeast"/>
          <w:jc w:val="center"/>
        </w:trPr>
        <w:tc>
          <w:tcPr>
            <w:tcW w:w="892" w:type="dxa"/>
            <w:vAlign w:val="center"/>
            <w:noWrap w:val="0"/>
          </w:tcPr>
          <w:p>
            <w:pPr>
              <w:pStyle w:val="9"/>
              <w:bidi w:val="0"/>
              <w:rPr>
                <w:rFonts w:hint="eastAsia"/>
              </w:rPr>
            </w:pPr>
            <w:r>
              <w:rPr>
                <w:rFonts w:hint="eastAsia"/>
              </w:rPr>
              <w:t>8</w:t>
            </w:r>
          </w:p>
        </w:tc>
        <w:tc>
          <w:tcPr>
            <w:tcW w:w="2414" w:type="dxa"/>
            <w:vAlign w:val="center"/>
            <w:noWrap w:val="0"/>
          </w:tcPr>
          <w:p>
            <w:pPr>
              <w:pStyle w:val="9"/>
              <w:bidi w:val="0"/>
              <w:rPr>
                <w:rFonts w:hint="eastAsia"/>
              </w:rPr>
            </w:pPr>
            <w:r>
              <w:rPr>
                <w:rFonts w:hint="eastAsia"/>
              </w:rPr>
              <w:t>乙炔绝对产气速率ml/天</w:t>
            </w:r>
          </w:p>
        </w:tc>
        <w:tc>
          <w:tcPr>
            <w:tcW w:w="1450" w:type="dxa"/>
            <w:vAlign w:val="center"/>
            <w:noWrap w:val="0"/>
          </w:tcPr>
          <w:p>
            <w:pPr>
              <w:pStyle w:val="9"/>
              <w:bidi w:val="0"/>
              <w:rPr>
                <w:rFonts w:hint="eastAsia"/>
              </w:rPr>
            </w:pPr>
            <w:r>
              <w:rPr>
                <w:rFonts w:hint="eastAsia"/>
              </w:rPr>
              <w:t>110kV及以上</w:t>
            </w:r>
          </w:p>
        </w:tc>
        <w:tc>
          <w:tcPr>
            <w:tcW w:w="1175" w:type="dxa"/>
            <w:vAlign w:val="center"/>
            <w:noWrap w:val="0"/>
          </w:tcPr>
          <w:p>
            <w:pPr>
              <w:pStyle w:val="9"/>
              <w:bidi w:val="0"/>
              <w:rPr>
                <w:rFonts w:hint="eastAsia"/>
              </w:rPr>
            </w:pPr>
            <w:r>
              <w:rPr>
                <w:rFonts w:hint="eastAsia"/>
              </w:rPr>
              <w:t>开放式</w:t>
            </w:r>
          </w:p>
        </w:tc>
        <w:tc>
          <w:tcPr>
            <w:tcW w:w="1117" w:type="dxa"/>
            <w:vAlign w:val="center"/>
            <w:noWrap w:val="0"/>
          </w:tcPr>
          <w:p>
            <w:pPr>
              <w:pStyle w:val="9"/>
              <w:bidi w:val="0"/>
              <w:rPr>
                <w:rFonts w:hint="eastAsia"/>
              </w:rPr>
            </w:pPr>
            <w:r>
              <w:rPr>
                <w:rFonts w:hint="eastAsia"/>
              </w:rPr>
              <w:t>&lt;0.03</w:t>
            </w:r>
          </w:p>
        </w:tc>
        <w:tc>
          <w:tcPr>
            <w:tcW w:w="1049" w:type="dxa"/>
            <w:vAlign w:val="center"/>
            <w:noWrap w:val="0"/>
          </w:tcPr>
          <w:p>
            <w:pPr>
              <w:pStyle w:val="9"/>
              <w:bidi w:val="0"/>
              <w:rPr>
                <w:rFonts w:hint="eastAsia"/>
              </w:rPr>
            </w:pPr>
            <w:r>
              <w:rPr>
                <w:rFonts w:hint="eastAsia"/>
              </w:rPr>
              <w:t>0.03</w:t>
            </w:r>
          </w:p>
        </w:tc>
        <w:tc>
          <w:tcPr>
            <w:tcW w:w="1189" w:type="dxa"/>
            <w:vAlign w:val="center"/>
            <w:noWrap w:val="0"/>
          </w:tcPr>
          <w:p>
            <w:pPr>
              <w:pStyle w:val="9"/>
              <w:bidi w:val="0"/>
              <w:rPr>
                <w:rFonts w:hint="eastAsia"/>
              </w:rPr>
            </w:pPr>
            <w:r>
              <w:rPr>
                <w:rFonts w:hint="eastAsia"/>
              </w:rPr>
              <w:t>&gt;0.1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291" w:hRule="atLeast"/>
          <w:jc w:val="center"/>
        </w:trPr>
        <w:tc>
          <w:tcPr>
            <w:tcW w:w="892" w:type="dxa"/>
            <w:vAlign w:val="center"/>
            <w:noWrap w:val="0"/>
          </w:tcPr>
          <w:p>
            <w:pPr>
              <w:pStyle w:val="9"/>
              <w:bidi w:val="0"/>
              <w:rPr>
                <w:rFonts w:hint="eastAsia"/>
              </w:rPr>
            </w:pPr>
            <w:r>
              <w:rPr>
                <w:rFonts w:hint="eastAsia"/>
              </w:rPr>
              <w:t>9</w:t>
            </w:r>
          </w:p>
        </w:tc>
        <w:tc>
          <w:tcPr>
            <w:tcW w:w="2414" w:type="dxa"/>
            <w:vAlign w:val="center"/>
            <w:noWrap w:val="0"/>
          </w:tcPr>
          <w:p>
            <w:pPr>
              <w:pStyle w:val="9"/>
              <w:bidi w:val="0"/>
              <w:rPr>
                <w:rFonts w:hint="eastAsia"/>
              </w:rPr>
            </w:pPr>
            <w:r>
              <w:rPr>
                <w:rFonts w:hint="eastAsia"/>
              </w:rPr>
              <w:t>乙炔相对产气速率(%/月)</w:t>
            </w:r>
          </w:p>
        </w:tc>
        <w:tc>
          <w:tcPr>
            <w:tcW w:w="1450" w:type="dxa"/>
            <w:vAlign w:val="center"/>
            <w:noWrap w:val="0"/>
          </w:tcPr>
          <w:p>
            <w:pPr>
              <w:pStyle w:val="9"/>
              <w:bidi w:val="0"/>
              <w:rPr>
                <w:rFonts w:hint="eastAsia"/>
              </w:rPr>
            </w:pPr>
            <w:r>
              <w:rPr>
                <w:rFonts w:hint="eastAsia"/>
              </w:rPr>
              <w:t>110kV及以上</w:t>
            </w:r>
          </w:p>
        </w:tc>
        <w:tc>
          <w:tcPr>
            <w:tcW w:w="1175" w:type="dxa"/>
            <w:vAlign w:val="center"/>
            <w:noWrap w:val="0"/>
          </w:tcPr>
          <w:p>
            <w:pPr>
              <w:pStyle w:val="9"/>
              <w:bidi w:val="0"/>
              <w:rPr>
                <w:rFonts w:hint="eastAsia"/>
              </w:rPr>
            </w:pPr>
            <w:r>
              <w:rPr>
                <w:rFonts w:hint="eastAsia"/>
              </w:rPr>
              <w:t>隔膜式</w:t>
            </w:r>
          </w:p>
        </w:tc>
        <w:tc>
          <w:tcPr>
            <w:tcW w:w="1117" w:type="dxa"/>
            <w:vAlign w:val="center"/>
            <w:noWrap w:val="0"/>
          </w:tcPr>
          <w:p>
            <w:pPr>
              <w:pStyle w:val="9"/>
              <w:bidi w:val="0"/>
              <w:rPr>
                <w:rFonts w:hint="eastAsia"/>
              </w:rPr>
            </w:pPr>
            <w:r>
              <w:rPr>
                <w:rFonts w:hint="eastAsia"/>
              </w:rPr>
              <w:t>&lt;6</w:t>
            </w:r>
          </w:p>
        </w:tc>
        <w:tc>
          <w:tcPr>
            <w:tcW w:w="1049" w:type="dxa"/>
            <w:vAlign w:val="center"/>
            <w:noWrap w:val="0"/>
          </w:tcPr>
          <w:p>
            <w:pPr>
              <w:pStyle w:val="9"/>
              <w:bidi w:val="0"/>
              <w:rPr>
                <w:rFonts w:hint="eastAsia"/>
              </w:rPr>
            </w:pPr>
            <w:r>
              <w:rPr>
                <w:rFonts w:hint="eastAsia"/>
              </w:rPr>
              <w:t>6</w:t>
            </w:r>
          </w:p>
        </w:tc>
        <w:tc>
          <w:tcPr>
            <w:tcW w:w="1189" w:type="dxa"/>
            <w:vAlign w:val="center"/>
            <w:noWrap w:val="0"/>
          </w:tcPr>
          <w:p>
            <w:pPr>
              <w:pStyle w:val="9"/>
              <w:bidi w:val="0"/>
              <w:rPr>
                <w:rFonts w:hint="eastAsia"/>
              </w:rPr>
            </w:pPr>
            <w:r>
              <w:rPr>
                <w:rFonts w:hint="eastAsia"/>
              </w:rPr>
              <w:t>&gt;10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309" w:hRule="atLeast"/>
          <w:jc w:val="center"/>
        </w:trPr>
        <w:tc>
          <w:tcPr>
            <w:tcW w:w="892" w:type="dxa"/>
            <w:vAlign w:val="center"/>
            <w:noWrap w:val="0"/>
          </w:tcPr>
          <w:p>
            <w:pPr>
              <w:pStyle w:val="9"/>
              <w:bidi w:val="0"/>
              <w:rPr>
                <w:rFonts w:hint="eastAsia"/>
              </w:rPr>
            </w:pPr>
            <w:r>
              <w:rPr>
                <w:rFonts w:hint="eastAsia"/>
              </w:rPr>
              <w:t>10</w:t>
            </w:r>
          </w:p>
        </w:tc>
        <w:tc>
          <w:tcPr>
            <w:tcW w:w="2414" w:type="dxa"/>
            <w:vAlign w:val="center"/>
            <w:noWrap w:val="0"/>
          </w:tcPr>
          <w:p>
            <w:pPr>
              <w:pStyle w:val="9"/>
              <w:bidi w:val="0"/>
              <w:rPr>
                <w:rFonts w:hint="eastAsia"/>
              </w:rPr>
            </w:pPr>
            <w:r>
              <w:rPr>
                <w:rFonts w:hint="eastAsia"/>
              </w:rPr>
              <w:t>总烃值（μL/L）</w:t>
            </w:r>
          </w:p>
        </w:tc>
        <w:tc>
          <w:tcPr>
            <w:tcW w:w="1450" w:type="dxa"/>
            <w:vAlign w:val="center"/>
            <w:noWrap w:val="0"/>
          </w:tcPr>
          <w:p>
            <w:pPr>
              <w:pStyle w:val="9"/>
              <w:bidi w:val="0"/>
              <w:rPr>
                <w:rFonts w:hint="eastAsia"/>
              </w:rPr>
            </w:pPr>
            <w:r>
              <w:rPr>
                <w:rFonts w:hint="eastAsia"/>
              </w:rPr>
              <w:t>110kV及以上</w:t>
            </w:r>
          </w:p>
        </w:tc>
        <w:tc>
          <w:tcPr>
            <w:tcW w:w="1175" w:type="dxa"/>
            <w:vAlign w:val="center"/>
            <w:noWrap w:val="0"/>
          </w:tcPr>
          <w:p>
            <w:pPr>
              <w:pStyle w:val="9"/>
              <w:bidi w:val="0"/>
              <w:rPr>
                <w:rFonts w:hint="eastAsia"/>
              </w:rPr>
            </w:pPr>
            <w:r>
              <w:rPr>
                <w:rFonts w:hint="eastAsia"/>
              </w:rPr>
              <w:t>隔膜式</w:t>
            </w:r>
          </w:p>
        </w:tc>
        <w:tc>
          <w:tcPr>
            <w:tcW w:w="1117" w:type="dxa"/>
            <w:vAlign w:val="center"/>
            <w:noWrap w:val="0"/>
          </w:tcPr>
          <w:p>
            <w:pPr>
              <w:pStyle w:val="9"/>
              <w:bidi w:val="0"/>
              <w:rPr>
                <w:rFonts w:hint="eastAsia"/>
              </w:rPr>
            </w:pPr>
            <w:r>
              <w:rPr>
                <w:rFonts w:hint="eastAsia"/>
              </w:rPr>
              <w:t>&lt;120</w:t>
            </w:r>
          </w:p>
        </w:tc>
        <w:tc>
          <w:tcPr>
            <w:tcW w:w="1049" w:type="dxa"/>
            <w:vAlign w:val="center"/>
            <w:noWrap w:val="0"/>
          </w:tcPr>
          <w:p>
            <w:pPr>
              <w:pStyle w:val="9"/>
              <w:bidi w:val="0"/>
              <w:rPr>
                <w:rFonts w:hint="eastAsia"/>
              </w:rPr>
            </w:pPr>
            <w:r>
              <w:rPr>
                <w:rFonts w:hint="eastAsia"/>
              </w:rPr>
              <w:t>120</w:t>
            </w:r>
          </w:p>
        </w:tc>
        <w:tc>
          <w:tcPr>
            <w:tcW w:w="1189" w:type="dxa"/>
            <w:vAlign w:val="center"/>
            <w:noWrap w:val="0"/>
          </w:tcPr>
          <w:p>
            <w:pPr>
              <w:pStyle w:val="9"/>
              <w:bidi w:val="0"/>
              <w:rPr>
                <w:rFonts w:hint="eastAsia"/>
              </w:rPr>
            </w:pPr>
            <w:r>
              <w:rPr>
                <w:rFonts w:hint="eastAsia"/>
              </w:rPr>
              <w:t>&gt;150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535" w:hRule="atLeast"/>
          <w:jc w:val="center"/>
        </w:trPr>
        <w:tc>
          <w:tcPr>
            <w:tcW w:w="892" w:type="dxa"/>
            <w:vAlign w:val="center"/>
            <w:noWrap w:val="0"/>
          </w:tcPr>
          <w:p>
            <w:pPr>
              <w:pStyle w:val="9"/>
              <w:bidi w:val="0"/>
              <w:rPr>
                <w:rFonts w:hint="eastAsia"/>
              </w:rPr>
            </w:pPr>
            <w:r>
              <w:rPr>
                <w:rFonts w:hint="eastAsia"/>
              </w:rPr>
              <w:t>11</w:t>
            </w:r>
          </w:p>
        </w:tc>
        <w:tc>
          <w:tcPr>
            <w:tcW w:w="2414" w:type="dxa"/>
            <w:vAlign w:val="center"/>
            <w:noWrap w:val="0"/>
          </w:tcPr>
          <w:p>
            <w:pPr>
              <w:pStyle w:val="9"/>
              <w:bidi w:val="0"/>
              <w:rPr>
                <w:rFonts w:hint="eastAsia"/>
              </w:rPr>
            </w:pPr>
            <w:r>
              <w:rPr>
                <w:rFonts w:hint="eastAsia"/>
              </w:rPr>
              <w:t>总烃绝对产气速率ml/天</w:t>
            </w:r>
          </w:p>
        </w:tc>
        <w:tc>
          <w:tcPr>
            <w:tcW w:w="1450" w:type="dxa"/>
            <w:vAlign w:val="center"/>
            <w:noWrap w:val="0"/>
          </w:tcPr>
          <w:p>
            <w:pPr>
              <w:pStyle w:val="9"/>
              <w:bidi w:val="0"/>
              <w:rPr>
                <w:rFonts w:hint="eastAsia"/>
              </w:rPr>
            </w:pPr>
            <w:r>
              <w:rPr>
                <w:rFonts w:hint="eastAsia"/>
              </w:rPr>
              <w:t>110kV及以上</w:t>
            </w:r>
          </w:p>
        </w:tc>
        <w:tc>
          <w:tcPr>
            <w:tcW w:w="1175" w:type="dxa"/>
            <w:vAlign w:val="center"/>
            <w:noWrap w:val="0"/>
          </w:tcPr>
          <w:p>
            <w:pPr>
              <w:pStyle w:val="9"/>
              <w:bidi w:val="0"/>
              <w:rPr>
                <w:rFonts w:hint="eastAsia"/>
              </w:rPr>
            </w:pPr>
            <w:r>
              <w:rPr>
                <w:rFonts w:hint="eastAsia"/>
              </w:rPr>
              <w:t>隔膜式</w:t>
            </w:r>
          </w:p>
        </w:tc>
        <w:tc>
          <w:tcPr>
            <w:tcW w:w="1117" w:type="dxa"/>
            <w:vAlign w:val="center"/>
            <w:noWrap w:val="0"/>
          </w:tcPr>
          <w:p>
            <w:pPr>
              <w:pStyle w:val="9"/>
              <w:bidi w:val="0"/>
              <w:rPr>
                <w:rFonts w:hint="eastAsia"/>
              </w:rPr>
            </w:pPr>
            <w:r>
              <w:rPr>
                <w:rFonts w:hint="eastAsia"/>
              </w:rPr>
              <w:t>&lt;3.6</w:t>
            </w:r>
          </w:p>
        </w:tc>
        <w:tc>
          <w:tcPr>
            <w:tcW w:w="1049" w:type="dxa"/>
            <w:vAlign w:val="center"/>
            <w:noWrap w:val="0"/>
          </w:tcPr>
          <w:p>
            <w:pPr>
              <w:pStyle w:val="9"/>
              <w:bidi w:val="0"/>
              <w:rPr>
                <w:rFonts w:hint="eastAsia"/>
              </w:rPr>
            </w:pPr>
            <w:r>
              <w:rPr>
                <w:rFonts w:hint="eastAsia"/>
              </w:rPr>
              <w:t>3.6</w:t>
            </w:r>
          </w:p>
        </w:tc>
        <w:tc>
          <w:tcPr>
            <w:tcW w:w="1189" w:type="dxa"/>
            <w:vAlign w:val="center"/>
            <w:noWrap w:val="0"/>
          </w:tcPr>
          <w:p>
            <w:pPr>
              <w:pStyle w:val="9"/>
              <w:bidi w:val="0"/>
              <w:rPr>
                <w:rFonts w:hint="eastAsia"/>
              </w:rPr>
            </w:pPr>
            <w:r>
              <w:rPr>
                <w:rFonts w:hint="eastAsia"/>
              </w:rPr>
              <w:t>&gt;12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535" w:hRule="atLeast"/>
          <w:jc w:val="center"/>
        </w:trPr>
        <w:tc>
          <w:tcPr>
            <w:tcW w:w="892" w:type="dxa"/>
            <w:vAlign w:val="center"/>
            <w:noWrap w:val="0"/>
          </w:tcPr>
          <w:p>
            <w:pPr>
              <w:spacing w:line="360" w:lineRule="auto"/>
              <w:rPr>
                <w:sz w:val="24"/>
                <w:szCs w:val="24"/>
                <w:rFonts w:ascii="宋体" w:hAnsi="宋体" w:eastAsia="宋体" w:cs="宋体" w:hint="eastAsia"/>
              </w:rPr>
            </w:pPr>
            <w:r>
              <w:rPr>
                <w:sz w:val="24"/>
                <w:szCs w:val="24"/>
                <w:rFonts w:ascii="宋体" w:hAnsi="宋体" w:eastAsia="宋体" w:cs="宋体" w:hint="eastAsia"/>
              </w:rPr>
              <w:t>12</w:t>
            </w:r>
          </w:p>
        </w:tc>
        <w:tc>
          <w:tcPr>
            <w:tcW w:w="2414" w:type="dxa"/>
            <w:vAlign w:val="center"/>
            <w:noWrap w:val="0"/>
          </w:tcPr>
          <w:p>
            <w:pPr>
              <w:spacing w:line="360" w:lineRule="auto"/>
              <w:rPr>
                <w:sz w:val="24"/>
                <w:szCs w:val="24"/>
                <w:rFonts w:ascii="宋体" w:hAnsi="宋体" w:eastAsia="宋体" w:cs="宋体" w:hint="eastAsia"/>
              </w:rPr>
            </w:pPr>
            <w:r>
              <w:rPr>
                <w:sz w:val="24"/>
                <w:szCs w:val="24"/>
                <w:rFonts w:ascii="宋体" w:hAnsi="宋体" w:eastAsia="宋体" w:cs="宋体" w:hint="eastAsia"/>
              </w:rPr>
              <w:t>总烃绝对产气速率ml/天</w:t>
            </w:r>
          </w:p>
        </w:tc>
        <w:tc>
          <w:tcPr>
            <w:tcW w:w="1450" w:type="dxa"/>
            <w:vAlign w:val="center"/>
            <w:noWrap w:val="0"/>
          </w:tcPr>
          <w:p>
            <w:pPr>
              <w:spacing w:line="360" w:lineRule="auto"/>
              <w:rPr>
                <w:sz w:val="24"/>
                <w:szCs w:val="24"/>
                <w:rFonts w:ascii="宋体" w:hAnsi="宋体" w:eastAsia="宋体" w:cs="宋体" w:hint="eastAsia"/>
              </w:rPr>
            </w:pPr>
            <w:r>
              <w:rPr>
                <w:sz w:val="24"/>
                <w:szCs w:val="24"/>
                <w:rFonts w:ascii="宋体" w:hAnsi="宋体" w:eastAsia="宋体" w:cs="宋体" w:hint="eastAsia"/>
              </w:rPr>
              <w:t>110kV及以上</w:t>
            </w:r>
          </w:p>
        </w:tc>
        <w:tc>
          <w:tcPr>
            <w:tcW w:w="1175" w:type="dxa"/>
            <w:vAlign w:val="center"/>
            <w:noWrap w:val="0"/>
          </w:tcPr>
          <w:p>
            <w:pPr>
              <w:spacing w:line="360" w:lineRule="auto"/>
              <w:rPr>
                <w:sz w:val="24"/>
                <w:szCs w:val="24"/>
                <w:rFonts w:ascii="宋体" w:hAnsi="宋体" w:eastAsia="宋体" w:cs="宋体" w:hint="eastAsia"/>
              </w:rPr>
            </w:pPr>
            <w:r>
              <w:rPr>
                <w:sz w:val="24"/>
                <w:szCs w:val="24"/>
                <w:rFonts w:ascii="宋体" w:hAnsi="宋体" w:eastAsia="宋体" w:cs="宋体" w:hint="eastAsia"/>
              </w:rPr>
              <w:t>开放式</w:t>
            </w:r>
          </w:p>
        </w:tc>
        <w:tc>
          <w:tcPr>
            <w:tcW w:w="1117" w:type="dxa"/>
            <w:vAlign w:val="center"/>
            <w:noWrap w:val="0"/>
          </w:tcPr>
          <w:p>
            <w:pPr>
              <w:spacing w:line="360" w:lineRule="auto"/>
              <w:rPr>
                <w:sz w:val="24"/>
                <w:szCs w:val="24"/>
                <w:rFonts w:ascii="宋体" w:hAnsi="宋体" w:eastAsia="宋体" w:cs="宋体" w:hint="eastAsia"/>
              </w:rPr>
            </w:pPr>
            <w:r>
              <w:rPr>
                <w:sz w:val="24"/>
                <w:szCs w:val="24"/>
                <w:rFonts w:ascii="宋体" w:hAnsi="宋体" w:eastAsia="宋体" w:cs="宋体" w:hint="eastAsia"/>
              </w:rPr>
              <w:t>&lt;1.8</w:t>
            </w:r>
          </w:p>
        </w:tc>
        <w:tc>
          <w:tcPr>
            <w:tcW w:w="1049" w:type="dxa"/>
            <w:vAlign w:val="center"/>
            <w:noWrap w:val="0"/>
          </w:tcPr>
          <w:p>
            <w:pPr>
              <w:spacing w:line="360" w:lineRule="auto"/>
              <w:rPr>
                <w:sz w:val="24"/>
                <w:szCs w:val="24"/>
                <w:rFonts w:ascii="宋体" w:hAnsi="宋体" w:eastAsia="宋体" w:cs="宋体" w:hint="eastAsia"/>
              </w:rPr>
            </w:pPr>
            <w:r>
              <w:rPr>
                <w:sz w:val="24"/>
                <w:szCs w:val="24"/>
                <w:rFonts w:ascii="宋体" w:hAnsi="宋体" w:eastAsia="宋体" w:cs="宋体" w:hint="eastAsia"/>
              </w:rPr>
              <w:t>1.8</w:t>
            </w:r>
          </w:p>
        </w:tc>
        <w:tc>
          <w:tcPr>
            <w:tcW w:w="1189" w:type="dxa"/>
            <w:vAlign w:val="center"/>
            <w:noWrap w:val="0"/>
          </w:tcPr>
          <w:p>
            <w:pPr>
              <w:spacing w:line="360" w:lineRule="auto"/>
              <w:rPr>
                <w:sz w:val="24"/>
                <w:szCs w:val="24"/>
                <w:rFonts w:ascii="宋体" w:hAnsi="宋体" w:eastAsia="宋体" w:cs="宋体" w:hint="eastAsia"/>
              </w:rPr>
            </w:pPr>
            <w:r>
              <w:rPr>
                <w:sz w:val="24"/>
                <w:szCs w:val="24"/>
                <w:rFonts w:ascii="宋体" w:hAnsi="宋体" w:eastAsia="宋体" w:cs="宋体" w:hint="eastAsia"/>
              </w:rPr>
              <w:t>&gt;6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535" w:hRule="atLeast"/>
          <w:jc w:val="center"/>
        </w:trPr>
        <w:tc>
          <w:tcPr>
            <w:tcW w:w="892" w:type="dxa"/>
            <w:vAlign w:val="center"/>
            <w:noWrap w:val="0"/>
          </w:tcPr>
          <w:p>
            <w:pPr>
              <w:spacing w:line="360" w:lineRule="auto"/>
              <w:rPr>
                <w:sz w:val="24"/>
                <w:szCs w:val="24"/>
                <w:rFonts w:ascii="宋体" w:hAnsi="宋体" w:eastAsia="宋体" w:cs="宋体" w:hint="eastAsia"/>
              </w:rPr>
            </w:pPr>
            <w:r>
              <w:rPr>
                <w:sz w:val="24"/>
                <w:szCs w:val="24"/>
                <w:rFonts w:ascii="宋体" w:hAnsi="宋体" w:eastAsia="宋体" w:cs="宋体" w:hint="eastAsia"/>
              </w:rPr>
              <w:t>13</w:t>
            </w:r>
          </w:p>
        </w:tc>
        <w:tc>
          <w:tcPr>
            <w:tcW w:w="2414" w:type="dxa"/>
            <w:vAlign w:val="center"/>
            <w:noWrap w:val="0"/>
          </w:tcPr>
          <w:p>
            <w:pPr>
              <w:spacing w:line="360" w:lineRule="auto"/>
              <w:rPr>
                <w:sz w:val="24"/>
                <w:szCs w:val="24"/>
                <w:rFonts w:ascii="宋体" w:hAnsi="宋体" w:eastAsia="宋体" w:cs="宋体" w:hint="eastAsia"/>
              </w:rPr>
            </w:pPr>
            <w:r>
              <w:rPr>
                <w:sz w:val="24"/>
                <w:szCs w:val="24"/>
                <w:rFonts w:ascii="宋体" w:hAnsi="宋体" w:eastAsia="宋体" w:cs="宋体" w:hint="eastAsia"/>
              </w:rPr>
              <w:t>总烃相对产气速率(%/月)</w:t>
            </w:r>
          </w:p>
        </w:tc>
        <w:tc>
          <w:tcPr>
            <w:tcW w:w="1450" w:type="dxa"/>
            <w:vAlign w:val="center"/>
            <w:noWrap w:val="0"/>
          </w:tcPr>
          <w:p>
            <w:pPr>
              <w:spacing w:line="360" w:lineRule="auto"/>
              <w:rPr>
                <w:sz w:val="24"/>
                <w:szCs w:val="24"/>
                <w:rFonts w:ascii="宋体" w:hAnsi="宋体" w:eastAsia="宋体" w:cs="宋体" w:hint="eastAsia"/>
              </w:rPr>
            </w:pPr>
            <w:r>
              <w:rPr>
                <w:sz w:val="24"/>
                <w:szCs w:val="24"/>
                <w:rFonts w:ascii="宋体" w:hAnsi="宋体" w:eastAsia="宋体" w:cs="宋体" w:hint="eastAsia"/>
              </w:rPr>
              <w:t>110kV及以上</w:t>
            </w:r>
          </w:p>
        </w:tc>
        <w:tc>
          <w:tcPr>
            <w:tcW w:w="1175" w:type="dxa"/>
            <w:vAlign w:val="center"/>
            <w:noWrap w:val="0"/>
          </w:tcPr>
          <w:p>
            <w:pPr>
              <w:spacing w:line="360" w:lineRule="auto"/>
              <w:rPr>
                <w:sz w:val="24"/>
                <w:szCs w:val="24"/>
                <w:rFonts w:ascii="宋体" w:hAnsi="宋体" w:eastAsia="宋体" w:cs="宋体" w:hint="eastAsia"/>
              </w:rPr>
            </w:pPr>
            <w:r>
              <w:rPr>
                <w:sz w:val="24"/>
                <w:szCs w:val="24"/>
                <w:rFonts w:ascii="宋体" w:hAnsi="宋体" w:eastAsia="宋体" w:cs="宋体" w:hint="eastAsia"/>
              </w:rPr>
              <w:t>隔膜式</w:t>
            </w:r>
          </w:p>
        </w:tc>
        <w:tc>
          <w:tcPr>
            <w:tcW w:w="1117" w:type="dxa"/>
            <w:vAlign w:val="center"/>
            <w:noWrap w:val="0"/>
          </w:tcPr>
          <w:p>
            <w:pPr>
              <w:spacing w:line="360" w:lineRule="auto"/>
              <w:rPr>
                <w:sz w:val="24"/>
                <w:szCs w:val="24"/>
                <w:rFonts w:ascii="宋体" w:hAnsi="宋体" w:eastAsia="宋体" w:cs="宋体" w:hint="eastAsia"/>
              </w:rPr>
            </w:pPr>
            <w:r>
              <w:rPr>
                <w:sz w:val="24"/>
                <w:szCs w:val="24"/>
                <w:rFonts w:ascii="宋体" w:hAnsi="宋体" w:eastAsia="宋体" w:cs="宋体" w:hint="eastAsia"/>
              </w:rPr>
              <w:t>&lt;6</w:t>
            </w:r>
          </w:p>
        </w:tc>
        <w:tc>
          <w:tcPr>
            <w:tcW w:w="1049" w:type="dxa"/>
            <w:vAlign w:val="center"/>
            <w:noWrap w:val="0"/>
          </w:tcPr>
          <w:p>
            <w:pPr>
              <w:spacing w:line="360" w:lineRule="auto"/>
              <w:rPr>
                <w:sz w:val="24"/>
                <w:szCs w:val="24"/>
                <w:rFonts w:ascii="宋体" w:hAnsi="宋体" w:eastAsia="宋体" w:cs="宋体" w:hint="eastAsia"/>
              </w:rPr>
            </w:pPr>
            <w:r>
              <w:rPr>
                <w:sz w:val="24"/>
                <w:szCs w:val="24"/>
                <w:rFonts w:ascii="宋体" w:hAnsi="宋体" w:eastAsia="宋体" w:cs="宋体" w:hint="eastAsia"/>
              </w:rPr>
              <w:t>6</w:t>
            </w:r>
          </w:p>
        </w:tc>
        <w:tc>
          <w:tcPr>
            <w:tcW w:w="1189" w:type="dxa"/>
            <w:vAlign w:val="center"/>
            <w:noWrap w:val="0"/>
          </w:tcPr>
          <w:p>
            <w:pPr>
              <w:spacing w:line="360" w:lineRule="auto"/>
              <w:rPr>
                <w:sz w:val="24"/>
                <w:szCs w:val="24"/>
                <w:rFonts w:ascii="宋体" w:hAnsi="宋体" w:eastAsia="宋体" w:cs="宋体" w:hint="eastAsia"/>
              </w:rPr>
            </w:pPr>
            <w:r>
              <w:rPr>
                <w:sz w:val="24"/>
                <w:szCs w:val="24"/>
                <w:rFonts w:ascii="宋体" w:hAnsi="宋体" w:eastAsia="宋体" w:cs="宋体" w:hint="eastAsia"/>
              </w:rPr>
              <w:t>&gt;10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535" w:hRule="atLeast"/>
          <w:jc w:val="center"/>
        </w:trPr>
        <w:tc>
          <w:tcPr>
            <w:tcW w:w="892" w:type="dxa"/>
            <w:vAlign w:val="center"/>
            <w:noWrap w:val="0"/>
          </w:tcPr>
          <w:p>
            <w:pPr>
              <w:spacing w:line="360" w:lineRule="auto"/>
              <w:rPr>
                <w:sz w:val="24"/>
                <w:szCs w:val="24"/>
                <w:rFonts w:ascii="宋体" w:hAnsi="宋体" w:eastAsia="宋体" w:cs="宋体" w:hint="eastAsia"/>
              </w:rPr>
            </w:pPr>
            <w:r>
              <w:rPr>
                <w:sz w:val="24"/>
                <w:szCs w:val="24"/>
                <w:rFonts w:ascii="宋体" w:hAnsi="宋体" w:eastAsia="宋体" w:cs="宋体" w:hint="eastAsia"/>
              </w:rPr>
              <w:t>备注</w:t>
            </w:r>
          </w:p>
        </w:tc>
        <w:tc>
          <w:tcPr>
            <w:tcW w:w="8394" w:type="dxa"/>
            <w:gridSpan w:val="6"/>
            <w:vAlign w:val="center"/>
            <w:noWrap w:val="0"/>
          </w:tcPr>
          <w:p>
            <w:pPr>
              <w:spacing w:line="360" w:lineRule="auto"/>
              <w:rPr>
                <w:sz w:val="24"/>
                <w:szCs w:val="24"/>
                <w:rFonts w:ascii="宋体" w:hAnsi="宋体" w:eastAsia="宋体" w:cs="宋体" w:hint="eastAsia"/>
              </w:rPr>
            </w:pPr>
          </w:p>
        </w:tc>
      </w:tr>
    </w:tbl>
    <w:p>
      <w:pPr>
        <w:pStyle w:val="4"/>
        <w:jc w:val="left"/>
        <w:tabs>
          <w:tab w:val="left" w:pos="1287"/>
        </w:tabs>
        <w:rPr>
          <w:sz w:val="32"/>
          <w:kern w:val="0"/>
          <w:rFonts w:hint="eastAsia"/>
        </w:rPr>
      </w:pPr>
      <w:bookmarkStart w:id="100" w:name="_Toc21396"/>
      <w:bookmarkStart w:id="101" w:name="_Toc12940"/>
      <w:bookmarkStart w:id="102" w:name="_Toc20148"/>
      <w:bookmarkStart w:id="103" w:name="_Toc30178"/>
      <w:bookmarkStart w:id="104" w:name="_Toc30198"/>
      <w:bookmarkStart w:id="105" w:name="_Toc16358"/>
      <w:bookmarkStart w:id="106" w:name="_Toc32341"/>
      <w:bookmarkStart w:id="107" w:name="_Toc22860"/>
      <w:bookmarkStart w:id="108" w:name="_Toc22764"/>
      <w:bookmarkStart w:id="109" w:name="_Toc6194"/>
      <w:bookmarkStart w:id="110" w:name="_Toc16802"/>
      <w:bookmarkStart w:id="111" w:name="_Toc30800"/>
      <w:bookmarkStart w:id="112" w:name="_Toc579"/>
      <w:bookmarkStart w:id="113" w:name="_Toc10624"/>
      <w:bookmarkStart w:id="114" w:name="_Toc18286"/>
      <w:bookmarkStart w:id="115" w:name="_Toc32753"/>
      <w:bookmarkStart w:id="116" w:name="_Toc21197"/>
      <w:bookmarkStart w:id="117" w:name="_Toc15509"/>
      <w:bookmarkStart w:id="118" w:name="_Toc15258"/>
      <w:bookmarkStart w:id="119" w:name="_Toc14122"/>
      <w:bookmarkStart w:id="120" w:name="_Toc15765"/>
      <w:bookmarkStart w:id="121" w:name="_Toc393354424"/>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Start w:id="122" w:name="_Toc10008"/>
      <w:bookmarkStart w:id="123" w:name="_Toc10722"/>
      <w:bookmarkStart w:id="124" w:name="_Toc1208"/>
      <w:bookmarkStart w:id="125" w:name="_Toc4737"/>
      <w:bookmarkStart w:id="126" w:name="_Toc8197"/>
      <w:bookmarkStart w:id="127" w:name="_Toc20789"/>
      <w:bookmarkStart w:id="128" w:name="_Toc26265"/>
      <w:bookmarkStart w:id="129" w:name="_Toc7967"/>
      <w:bookmarkStart w:id="130" w:name="_Toc14652"/>
      <w:bookmarkStart w:id="131" w:name="_Toc22945"/>
      <w:bookmarkStart w:id="132" w:name="_Toc459"/>
      <w:bookmarkStart w:id="133" w:name="_Toc236"/>
      <w:bookmarkStart w:id="134" w:name="_Toc20224"/>
      <w:bookmarkStart w:id="135" w:name="_Toc20583"/>
      <w:bookmarkStart w:id="136" w:name="_Toc29926"/>
      <w:bookmarkStart w:id="137" w:name="_Toc9768"/>
      <w:bookmarkStart w:id="138" w:name="_Toc9774"/>
      <w:bookmarkStart w:id="139" w:name="_Toc29055"/>
      <w:bookmarkStart w:id="140" w:name="_Toc25712"/>
      <w:bookmarkStart w:id="141" w:name="_Toc5154"/>
      <w:bookmarkStart w:id="142" w:name="_Toc2266"/>
      <w:bookmarkStart w:id="143" w:name="_Toc10767"/>
      <w:bookmarkStart w:id="144" w:name="_Toc10105"/>
      <w:bookmarkStart w:id="145" w:name="_Toc17321"/>
      <w:bookmarkStart w:id="146" w:name="_Toc20509"/>
      <w:bookmarkStart w:id="147" w:name="_Toc9996"/>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sz w:val="32"/>
          <w:kern w:val="0"/>
          <w:rFonts w:hint="eastAsia"/>
        </w:rPr>
        <w:t>A.2</w:t>
      </w:r>
      <w:r>
        <w:rPr>
          <w:sz w:val="32"/>
          <w:kern w:val="0"/>
          <w:rFonts w:hint="eastAsia"/>
        </w:rPr>
        <w:t>变压器油中微水监测报警值</w:t>
      </w:r>
    </w:p>
    <w:p>
      <w:pPr>
        <w:pStyle w:val="9"/>
        <w:bidi w:val="0"/>
      </w:pPr>
      <w:r>
        <w:rPr>
          <w:b w:val="1"/>
          <w:rFonts w:hint="eastAsia"/>
        </w:rPr>
        <w:t xml:space="preserve"> </w:t>
      </w:r>
      <w:r>
        <w:rPr>
          <w:rFonts w:hint="eastAsia"/>
        </w:rPr>
        <w:t xml:space="preserve"> 表2 变压器（电抗器）油中微水报警参数与报警值汇总表         </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Layout w:type="fixed"/>
      </w:tblPr>
      <w:tblGrid>
        <w:gridCol w:w="1031.000000"/>
        <w:gridCol w:w="2550.000000"/>
        <w:gridCol w:w="1656.000000"/>
        <w:gridCol w:w="1456.000000"/>
        <w:gridCol w:w="1215.000000"/>
        <w:gridCol w:w="1378.0000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435" w:hRule="atLeast"/>
          <w:jc w:val="center"/>
        </w:trPr>
        <w:tc>
          <w:tcPr>
            <w:tcW w:w="1031" w:type="dxa"/>
            <w:vAlign w:val="center"/>
            <w:noWrap w:val="0"/>
          </w:tcPr>
          <w:p>
            <w:pPr>
              <w:pStyle w:val="9"/>
              <w:bidi w:val="0"/>
            </w:pPr>
            <w:r>
              <w:rPr>
                <w:rFonts w:hint="eastAsia"/>
              </w:rPr>
              <w:t>序号</w:t>
            </w:r>
          </w:p>
        </w:tc>
        <w:tc>
          <w:tcPr>
            <w:tcW w:w="2550" w:type="dxa"/>
            <w:vAlign w:val="center"/>
            <w:noWrap w:val="0"/>
          </w:tcPr>
          <w:p>
            <w:pPr>
              <w:pStyle w:val="9"/>
              <w:bidi w:val="0"/>
            </w:pPr>
            <w:r>
              <w:rPr>
                <w:rFonts w:hint="eastAsia"/>
              </w:rPr>
              <w:t>报警参数</w:t>
            </w:r>
          </w:p>
        </w:tc>
        <w:tc>
          <w:tcPr>
            <w:tcW w:w="1656" w:type="dxa"/>
            <w:vAlign w:val="center"/>
            <w:noWrap w:val="0"/>
          </w:tcPr>
          <w:p>
            <w:pPr>
              <w:pStyle w:val="9"/>
              <w:bidi w:val="0"/>
              <w:rPr>
                <w:rFonts w:hint="eastAsia"/>
              </w:rPr>
            </w:pPr>
            <w:r>
              <w:rPr>
                <w:rFonts w:hint="eastAsia"/>
              </w:rPr>
              <w:t>电压等级</w:t>
            </w:r>
          </w:p>
        </w:tc>
        <w:tc>
          <w:tcPr>
            <w:tcW w:w="1456" w:type="dxa"/>
            <w:vAlign w:val="center"/>
            <w:noWrap w:val="0"/>
          </w:tcPr>
          <w:p>
            <w:pPr>
              <w:pStyle w:val="9"/>
              <w:bidi w:val="0"/>
              <w:rPr>
                <w:rFonts w:hint="eastAsia"/>
              </w:rPr>
            </w:pPr>
            <w:r>
              <w:rPr>
                <w:rFonts w:hint="eastAsia"/>
              </w:rPr>
              <w:t>正常范围</w:t>
            </w:r>
          </w:p>
        </w:tc>
        <w:tc>
          <w:tcPr>
            <w:tcW w:w="1215" w:type="dxa"/>
            <w:vAlign w:val="center"/>
            <w:noWrap w:val="0"/>
          </w:tcPr>
          <w:p>
            <w:pPr>
              <w:pStyle w:val="9"/>
              <w:bidi w:val="0"/>
            </w:pPr>
            <w:r>
              <w:rPr>
                <w:rFonts w:hint="eastAsia"/>
              </w:rPr>
              <w:t>预警值</w:t>
            </w:r>
          </w:p>
        </w:tc>
        <w:tc>
          <w:tcPr>
            <w:tcW w:w="1378" w:type="dxa"/>
            <w:vAlign w:val="center"/>
            <w:noWrap w:val="0"/>
          </w:tcPr>
          <w:p>
            <w:pPr>
              <w:pStyle w:val="9"/>
              <w:bidi w:val="0"/>
            </w:pPr>
            <w:r>
              <w:rPr>
                <w:rFonts w:hint="eastAsia"/>
              </w:rPr>
              <w:t>报警值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515" w:hRule="atLeast"/>
          <w:jc w:val="center"/>
        </w:trPr>
        <w:tc>
          <w:tcPr>
            <w:tcW w:w="1031" w:type="dxa"/>
            <w:vAlign w:val="center"/>
            <w:noWrap w:val="0"/>
          </w:tcPr>
          <w:p>
            <w:pPr>
              <w:pStyle w:val="9"/>
              <w:bidi w:val="0"/>
              <w:rPr>
                <w:rFonts w:hint="eastAsia"/>
              </w:rPr>
            </w:pPr>
            <w:r>
              <w:rPr>
                <w:rFonts w:hint="eastAsia"/>
              </w:rPr>
              <w:t>1</w:t>
            </w:r>
          </w:p>
        </w:tc>
        <w:tc>
          <w:tcPr>
            <w:tcW w:w="2550" w:type="dxa"/>
            <w:vAlign w:val="center"/>
            <w:noWrap w:val="0"/>
          </w:tcPr>
          <w:p>
            <w:pPr>
              <w:pStyle w:val="9"/>
              <w:bidi w:val="0"/>
            </w:pPr>
            <w:r>
              <w:t>水分(mg/L)</w:t>
            </w:r>
          </w:p>
        </w:tc>
        <w:tc>
          <w:tcPr>
            <w:tcW w:w="1656" w:type="dxa"/>
            <w:vAlign w:val="center"/>
            <w:noWrap w:val="0"/>
          </w:tcPr>
          <w:p>
            <w:pPr>
              <w:pStyle w:val="9"/>
              <w:bidi w:val="0"/>
            </w:pPr>
            <w:r>
              <w:t>220kV</w:t>
            </w:r>
            <w:r>
              <w:rPr>
                <w:rFonts w:hint="eastAsia"/>
              </w:rPr>
              <w:t>及以下</w:t>
            </w:r>
          </w:p>
        </w:tc>
        <w:tc>
          <w:tcPr>
            <w:tcW w:w="1456" w:type="dxa"/>
            <w:vAlign w:val="center"/>
            <w:noWrap w:val="0"/>
          </w:tcPr>
          <w:p>
            <w:pPr>
              <w:pStyle w:val="9"/>
              <w:bidi w:val="0"/>
              <w:rPr>
                <w:rFonts w:hint="eastAsia"/>
              </w:rPr>
            </w:pPr>
            <w:r>
              <w:t>&lt;</w:t>
            </w:r>
            <w:r>
              <w:rPr>
                <w:rFonts w:hint="eastAsia"/>
              </w:rPr>
              <w:t>20</w:t>
            </w:r>
          </w:p>
        </w:tc>
        <w:tc>
          <w:tcPr>
            <w:tcW w:w="1215" w:type="dxa"/>
            <w:vAlign w:val="center"/>
            <w:noWrap w:val="0"/>
          </w:tcPr>
          <w:p>
            <w:pPr>
              <w:pStyle w:val="9"/>
              <w:bidi w:val="0"/>
              <w:rPr>
                <w:rFonts w:hint="eastAsia"/>
              </w:rPr>
            </w:pPr>
            <w:r>
              <w:rPr>
                <w:rFonts w:hint="eastAsia"/>
              </w:rPr>
              <w:t>20</w:t>
            </w:r>
          </w:p>
        </w:tc>
        <w:tc>
          <w:tcPr>
            <w:tcW w:w="1378" w:type="dxa"/>
            <w:vAlign w:val="center"/>
            <w:noWrap w:val="0"/>
          </w:tcPr>
          <w:p>
            <w:pPr>
              <w:pStyle w:val="9"/>
              <w:bidi w:val="0"/>
              <w:rPr>
                <w:rFonts w:hint="eastAsia"/>
              </w:rPr>
            </w:pPr>
            <w:r>
              <w:t>&gt;</w:t>
            </w:r>
            <w:r>
              <w:rPr>
                <w:rFonts w:hint="eastAsia"/>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515" w:hRule="atLeast"/>
          <w:jc w:val="center"/>
        </w:trPr>
        <w:tc>
          <w:tcPr>
            <w:tcW w:w="1031" w:type="dxa"/>
            <w:vAlign w:val="center"/>
            <w:noWrap w:val="0"/>
          </w:tcPr>
          <w:p>
            <w:pPr>
              <w:pStyle w:val="9"/>
              <w:bidi w:val="0"/>
              <w:rPr>
                <w:rFonts w:hint="eastAsia"/>
              </w:rPr>
            </w:pPr>
            <w:r>
              <w:rPr>
                <w:rFonts w:hint="eastAsia"/>
              </w:rPr>
              <w:t>2</w:t>
            </w:r>
          </w:p>
        </w:tc>
        <w:tc>
          <w:tcPr>
            <w:tcW w:w="2550" w:type="dxa"/>
            <w:vAlign w:val="center"/>
            <w:noWrap w:val="0"/>
          </w:tcPr>
          <w:p>
            <w:pPr>
              <w:pStyle w:val="9"/>
              <w:bidi w:val="0"/>
              <w:rPr>
                <w:rFonts w:hint="eastAsia"/>
              </w:rPr>
            </w:pPr>
            <w:r>
              <w:rPr>
                <w:rFonts w:hint="eastAsia"/>
              </w:rPr>
              <w:t>水分</w:t>
            </w:r>
            <w:r>
              <w:t>(mg/L)</w:t>
            </w:r>
          </w:p>
        </w:tc>
        <w:tc>
          <w:tcPr>
            <w:tcW w:w="1656" w:type="dxa"/>
            <w:vAlign w:val="center"/>
            <w:noWrap w:val="0"/>
          </w:tcPr>
          <w:p>
            <w:pPr>
              <w:pStyle w:val="9"/>
              <w:bidi w:val="0"/>
              <w:rPr>
                <w:rFonts w:hint="eastAsia"/>
              </w:rPr>
            </w:pPr>
            <w:r>
              <w:rPr>
                <w:rFonts w:hint="eastAsia"/>
              </w:rPr>
              <w:t>330 kV及以上</w:t>
            </w:r>
          </w:p>
        </w:tc>
        <w:tc>
          <w:tcPr>
            <w:tcW w:w="1456" w:type="dxa"/>
            <w:vAlign w:val="center"/>
            <w:noWrap w:val="0"/>
          </w:tcPr>
          <w:p>
            <w:pPr>
              <w:pStyle w:val="9"/>
              <w:bidi w:val="0"/>
              <w:rPr>
                <w:rFonts w:hint="eastAsia"/>
              </w:rPr>
            </w:pPr>
            <w:r>
              <w:t>&lt;</w:t>
            </w:r>
            <w:r>
              <w:rPr>
                <w:rFonts w:hint="eastAsia"/>
              </w:rPr>
              <w:t>12</w:t>
            </w:r>
          </w:p>
        </w:tc>
        <w:tc>
          <w:tcPr>
            <w:tcW w:w="1215" w:type="dxa"/>
            <w:vAlign w:val="center"/>
            <w:noWrap w:val="0"/>
          </w:tcPr>
          <w:p>
            <w:pPr>
              <w:pStyle w:val="9"/>
              <w:bidi w:val="0"/>
            </w:pPr>
            <w:r>
              <w:rPr>
                <w:rFonts w:hint="eastAsia"/>
              </w:rPr>
              <w:t>12</w:t>
            </w:r>
          </w:p>
        </w:tc>
        <w:tc>
          <w:tcPr>
            <w:tcW w:w="1378" w:type="dxa"/>
            <w:vAlign w:val="center"/>
            <w:noWrap w:val="0"/>
          </w:tcPr>
          <w:p>
            <w:pPr>
              <w:pStyle w:val="9"/>
              <w:bidi w:val="0"/>
            </w:pPr>
            <w:r>
              <w:t>&gt;</w:t>
            </w:r>
            <w:r>
              <w:rPr>
                <w:rFonts w:hint="eastAsia"/>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515" w:hRule="atLeast"/>
          <w:jc w:val="center"/>
        </w:trPr>
        <w:tc>
          <w:tcPr>
            <w:tcW w:w="1031" w:type="dxa"/>
            <w:vAlign w:val="center"/>
            <w:noWrap w:val="0"/>
          </w:tcPr>
          <w:p>
            <w:pPr>
              <w:pStyle w:val="9"/>
              <w:bidi w:val="0"/>
              <w:rPr>
                <w:rFonts w:hint="eastAsia"/>
              </w:rPr>
            </w:pPr>
            <w:r>
              <w:rPr>
                <w:rFonts w:hint="eastAsia"/>
              </w:rPr>
              <w:t>备注</w:t>
            </w:r>
          </w:p>
        </w:tc>
        <w:tc>
          <w:tcPr>
            <w:tcW w:w="8255" w:type="dxa"/>
            <w:gridSpan w:val="5"/>
            <w:vAlign w:val="center"/>
            <w:noWrap w:val="0"/>
          </w:tcPr>
          <w:p>
            <w:pPr>
              <w:pStyle w:val="9"/>
              <w:bidi w:val="0"/>
            </w:pPr>
          </w:p>
        </w:tc>
      </w:tr>
    </w:tbl>
    <w:p>
      <w:pPr>
        <w:pStyle w:val="4"/>
        <w:bidi w:val="0"/>
        <w:rPr>
          <w:rFonts w:hint="eastAsia"/>
        </w:rPr>
      </w:pPr>
      <w:bookmarkStart w:id="148" w:name="_Toc24689"/>
      <w:bookmarkStart w:id="149" w:name="_Toc26659"/>
      <w:bookmarkStart w:id="150" w:name="_Toc30922"/>
      <w:bookmarkStart w:id="151" w:name="_Toc26349"/>
      <w:bookmarkStart w:id="152" w:name="_Toc332359793"/>
      <w:bookmarkStart w:id="153" w:name="_Toc17947"/>
      <w:bookmarkStart w:id="154" w:name="_Toc24550"/>
      <w:bookmarkStart w:id="155" w:name="_Toc25826"/>
      <w:bookmarkStart w:id="156" w:name="_Toc30387"/>
      <w:bookmarkStart w:id="157" w:name="_Toc29589"/>
      <w:bookmarkStart w:id="158" w:name="_Toc31071"/>
      <w:bookmarkStart w:id="159" w:name="_Toc7740"/>
      <w:bookmarkStart w:id="160" w:name="_Toc19084"/>
      <w:bookmarkStart w:id="161" w:name="_Toc31547"/>
      <w:bookmarkStart w:id="162" w:name="_Toc32091"/>
      <w:bookmarkStart w:id="163" w:name="_Toc17448"/>
      <w:bookmarkStart w:id="164" w:name="_Toc24583"/>
      <w:bookmarkStart w:id="165" w:name="_Toc7484"/>
      <w:bookmarkStart w:id="166" w:name="_Toc2217"/>
      <w:bookmarkStart w:id="167" w:name="_Toc393354425"/>
      <w:bookmarkStart w:id="168" w:name="_Toc29311"/>
      <w:bookmarkStart w:id="169" w:name="_Toc23922"/>
      <w:bookmarkStart w:id="170" w:name="_Toc9490"/>
      <w:bookmarkStart w:id="171" w:name="_Toc3525"/>
      <w:bookmarkStart w:id="172" w:name="_Toc31151"/>
      <w:bookmarkStart w:id="173" w:name="_Toc31288"/>
      <w:bookmarkStart w:id="174" w:name="_Toc14980"/>
      <w:bookmarkStart w:id="175" w:name="_Toc1947"/>
      <w:bookmarkStart w:id="176" w:name="_Toc17128"/>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rFonts w:hint="eastAsia"/>
        </w:rPr>
        <w:t>A.3变压器铁芯接地电流监测装置</w:t>
      </w:r>
    </w:p>
    <w:p>
      <w:pPr>
        <w:pStyle w:val="9"/>
        <w:bidi w:val="0"/>
        <w:rPr>
          <w:rFonts w:hint="eastAsia"/>
        </w:rPr>
      </w:pPr>
      <w:r>
        <w:rPr>
          <w:rFonts w:hint="eastAsia"/>
        </w:rPr>
        <w:t>报警参数及报警值选取依据说明，分两级分别描述报警信号、报警标准、预防或处置措施。</w:t>
      </w:r>
    </w:p>
    <w:p>
      <w:pPr>
        <w:pStyle w:val="9"/>
        <w:bidi w:val="0"/>
      </w:pPr>
      <w:r>
        <w:rPr>
          <w:rFonts w:hint="eastAsia"/>
        </w:rPr>
        <w:t xml:space="preserve">表4 变压器（电抗器）铁芯接地电流报警参数与报警值汇总表          </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Layout w:type="fixed"/>
      </w:tblPr>
      <w:tblGrid>
        <w:gridCol w:w="1032.000000"/>
        <w:gridCol w:w="2791.000000"/>
        <w:gridCol w:w="2325.000000"/>
        <w:gridCol w:w="1723.0000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576" w:hRule="atLeast"/>
          <w:jc w:val="center"/>
        </w:trPr>
        <w:tc>
          <w:tcPr>
            <w:tcW w:w="1032" w:type="dxa"/>
            <w:vAlign w:val="center"/>
            <w:noWrap w:val="0"/>
          </w:tcPr>
          <w:p>
            <w:pPr>
              <w:pStyle w:val="9"/>
              <w:bidi w:val="0"/>
            </w:pPr>
            <w:r>
              <w:rPr>
                <w:rFonts w:hint="eastAsia"/>
              </w:rPr>
              <w:t>序号</w:t>
            </w:r>
          </w:p>
        </w:tc>
        <w:tc>
          <w:tcPr>
            <w:tcW w:w="2791" w:type="dxa"/>
            <w:vAlign w:val="center"/>
            <w:noWrap w:val="0"/>
          </w:tcPr>
          <w:p>
            <w:pPr>
              <w:pStyle w:val="9"/>
              <w:bidi w:val="0"/>
            </w:pPr>
            <w:r>
              <w:rPr>
                <w:rFonts w:hint="eastAsia"/>
              </w:rPr>
              <w:t>报警参数</w:t>
            </w:r>
          </w:p>
        </w:tc>
        <w:tc>
          <w:tcPr>
            <w:tcW w:w="2325" w:type="dxa"/>
            <w:vAlign w:val="center"/>
            <w:noWrap w:val="0"/>
          </w:tcPr>
          <w:p>
            <w:pPr>
              <w:pStyle w:val="9"/>
              <w:bidi w:val="0"/>
            </w:pPr>
            <w:r>
              <w:rPr>
                <w:rFonts w:hint="eastAsia"/>
              </w:rPr>
              <w:t>正常范围</w:t>
            </w:r>
          </w:p>
        </w:tc>
        <w:tc>
          <w:tcPr>
            <w:tcW w:w="1723" w:type="dxa"/>
            <w:vAlign w:val="center"/>
            <w:noWrap w:val="0"/>
          </w:tcPr>
          <w:p>
            <w:pPr>
              <w:pStyle w:val="9"/>
              <w:bidi w:val="0"/>
            </w:pPr>
            <w:r>
              <w:rPr>
                <w:rFonts w:hint="eastAsia"/>
              </w:rPr>
              <w:t>报警值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515" w:hRule="atLeast"/>
          <w:jc w:val="center"/>
        </w:trPr>
        <w:tc>
          <w:tcPr>
            <w:tcW w:w="1032" w:type="dxa"/>
            <w:vAlign w:val="center"/>
            <w:noWrap w:val="0"/>
          </w:tcPr>
          <w:p>
            <w:pPr>
              <w:pStyle w:val="9"/>
              <w:bidi w:val="0"/>
              <w:rPr>
                <w:rFonts w:hint="eastAsia"/>
              </w:rPr>
            </w:pPr>
            <w:r>
              <w:rPr>
                <w:rFonts w:hint="eastAsia"/>
              </w:rPr>
              <w:t>1</w:t>
            </w:r>
          </w:p>
        </w:tc>
        <w:tc>
          <w:tcPr>
            <w:tcW w:w="2791" w:type="dxa"/>
            <w:vAlign w:val="center"/>
            <w:noWrap w:val="0"/>
          </w:tcPr>
          <w:p>
            <w:pPr>
              <w:pStyle w:val="9"/>
              <w:bidi w:val="0"/>
            </w:pPr>
            <w:r>
              <w:rPr>
                <w:rFonts w:hint="eastAsia"/>
              </w:rPr>
              <w:t>全电流</w:t>
            </w:r>
          </w:p>
        </w:tc>
        <w:tc>
          <w:tcPr>
            <w:tcW w:w="2325" w:type="dxa"/>
            <w:vAlign w:val="center"/>
            <w:noWrap w:val="0"/>
          </w:tcPr>
          <w:p>
            <w:pPr>
              <w:pStyle w:val="9"/>
              <w:bidi w:val="0"/>
            </w:pPr>
            <w:r>
              <w:rPr>
                <w:rFonts w:hint="eastAsia"/>
              </w:rPr>
              <w:t>&lt;100mA</w:t>
            </w:r>
          </w:p>
        </w:tc>
        <w:tc>
          <w:tcPr>
            <w:tcW w:w="1723" w:type="dxa"/>
            <w:vAlign w:val="center"/>
            <w:noWrap w:val="0"/>
          </w:tcPr>
          <w:p>
            <w:pPr>
              <w:pStyle w:val="9"/>
              <w:bidi w:val="0"/>
            </w:pPr>
            <w:r>
              <w:rPr>
                <w:rFonts w:hint="eastAsia"/>
              </w:rPr>
              <w:t>100mA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515" w:hRule="atLeast"/>
          <w:jc w:val="center"/>
        </w:trPr>
        <w:tc>
          <w:tcPr>
            <w:tcW w:w="1032" w:type="dxa"/>
            <w:vAlign w:val="center"/>
            <w:noWrap w:val="0"/>
          </w:tcPr>
          <w:p>
            <w:pPr>
              <w:pStyle w:val="9"/>
              <w:bidi w:val="0"/>
              <w:rPr>
                <w:rFonts w:hint="eastAsia"/>
              </w:rPr>
            </w:pPr>
            <w:r>
              <w:rPr>
                <w:rFonts w:hint="eastAsia"/>
              </w:rPr>
              <w:t>备注</w:t>
            </w:r>
          </w:p>
        </w:tc>
        <w:tc>
          <w:tcPr>
            <w:tcW w:w="6839" w:type="dxa"/>
            <w:gridSpan w:val="3"/>
            <w:vAlign w:val="center"/>
            <w:noWrap w:val="0"/>
          </w:tcPr>
          <w:p>
            <w:pPr>
              <w:pStyle w:val="9"/>
              <w:bidi w:val="0"/>
            </w:pPr>
          </w:p>
        </w:tc>
      </w:tr>
    </w:tbl>
    <w:p>
      <w:pPr>
        <w:jc w:val="center"/>
        <w:rPr>
          <w:sz w:val="24"/>
          <w:lang w:val="en-US" w:eastAsia="zh-CN"/>
          <w:rFonts w:hint="default"/>
        </w:rPr>
      </w:pPr>
    </w:p>
    <w:sectPr>
      <w:headerReference r:id="rId12" w:type="default"/>
      <w:docGrid w:type="lines" w:linePitch="312" w:charSpace="0"/>
      <w:pgSz w:w="11906" w:h="16838"/>
      <w:pgMar w:top="1440" w:right="1800" w:bottom="1440" w:left="1800" w:header="851" w:footer="992" w:gutter="0"/>
      <w:cols w:space="425" w:num="1"/>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pStyle w:val="10"/>
      <w:spacing w:after="120" w:before="120" w:lineRule="auto"/>
      <w:ind w:firstLine="360"/>
    </w:pPr>
  </w:p>
</w:ftr>
</file>

<file path=word/footer2.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pStyle w:val="10"/>
      <w:jc w:val="center"/>
      <w:spacing w:after="120" w:before="120" w:lineRule="auto"/>
      <w:ind w:firstLine="360"/>
    </w:pPr>
  </w:p>
</w:ftr>
</file>

<file path=word/footer3.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pStyle w:val="10"/>
      <w:spacing w:after="120" w:before="120" w:lineRule="auto"/>
      <w:ind w:firstLine="360"/>
    </w:pPr>
  </w:p>
</w:ftr>
</file>

<file path=word/header1.xml><?xml version="1.0" encoding="utf-8"?>
<w:hd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pStyle w:val="11"/>
      <w:spacing w:after="120" w:before="120" w:lineRule="auto"/>
      <w:ind w:firstLine="360"/>
    </w:pPr>
  </w:p>
</w:hdr>
</file>

<file path=word/header2.xml><?xml version="1.0" encoding="utf-8"?>
<w:hd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pStyle w:val="11"/>
      <w:jc w:val="both"/>
      <w:pBdr>
        <w:bottom w:val="none" w:color="auto" w:sz="0" w:space="0"/>
      </w:pBdr>
      <w:spacing w:after="120" w:before="120" w:lineRule="auto"/>
      <w:ind w:firstLineChars="111"/>
    </w:pPr>
  </w:p>
</w:hdr>
</file>

<file path=word/header3.xml><?xml version="1.0" encoding="utf-8"?>
<w:hd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pStyle w:val="11"/>
      <w:spacing w:after="120" w:before="120" w:lineRule="auto"/>
      <w:ind w:firstLine="360"/>
    </w:pPr>
  </w:p>
</w:hdr>
</file>

<file path=word/header4.xml><?xml version="1.0" encoding="utf-8"?>
<w:hd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pStyle w:val="11"/>
      <w:rPr>
        <w:sz w:val="24"/>
        <w:lang w:val="en-US" w:eastAsia="zh-CN"/>
        <w:szCs w:val="24"/>
        <w:rFonts w:eastAsia="宋体" w:hint="default"/>
      </w:rPr>
    </w:pPr>
    <w:r>
      <w:rPr>
        <w:lang w:val="en-US" w:eastAsia="zh-CN"/>
        <w:rFonts w:hint="eastAsia"/>
      </w:rPr>
      <w:t xml:space="preserve">       </w:t>
    </w:r>
  </w:p>
</w:hdr>
</file>

<file path=word/numbering.xml><?xml version="1.0" encoding="utf-8"?>
<w:numbering xmlns:wps="http://schemas.microsoft.com/office/word/2010/wordprocessingShape" xmlns:wne="http://schemas.microsoft.com/office/word/2006/wordml" xmlns:wpg="http://schemas.microsoft.com/office/word/2010/wordprocessingGroup"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p14">
  <w:abstractNum w:abstractNumId="0">
    <w:nsid w:val="9579C29C"/>
    <w:multiLevelType w:val="singleLevel"/>
    <w:tmpl w:val="9579C29C"/>
    <w:lvl w:ilvl="0" w:tentative="0">
      <w:start w:val="2"/>
      <w:numFmt w:val="decimal"/>
      <w:suff w:val="nothing"/>
      <w:lvlText w:val="（%1）"/>
      <w:lvlJc w:val="left"/>
    </w:lvl>
  </w:abstractNum>
  <w:abstractNum w:abstractNumId="1">
    <w:nsid w:val="2C96229E"/>
    <w:multiLevelType w:val="multilevel"/>
    <w:tmpl w:val="2C96229E"/>
    <w:lvl w:ilvl="0" w:tentative="0">
      <w:start w:val="1"/>
      <w:numFmt w:val="decimal"/>
      <w:lvlText w:val="%1."/>
      <w:lvlJc w:val="left"/>
      <w:pPr>
        <w:ind w:hanging="420" w:left="420"/>
      </w:pPr>
      <w:rPr>
        <w:rFonts w:hint="eastAsia"/>
      </w:rPr>
    </w:lvl>
    <w:lvl w:ilvl="1" w:tentative="0">
      <w:start w:val="1"/>
      <w:numFmt w:val="lowerLetter"/>
      <w:lvlText w:val="%2)"/>
      <w:lvlJc w:val="left"/>
      <w:pPr>
        <w:ind w:hanging="420" w:left="840"/>
      </w:pPr>
      <w:rPr>
        <w:rFonts w:hint="eastAsia"/>
      </w:rPr>
    </w:lvl>
    <w:lvl w:ilvl="2" w:tentative="0">
      <w:start w:val="1"/>
      <w:numFmt w:val="lowerRoman"/>
      <w:lvlText w:val="%3."/>
      <w:lvlJc w:val="right"/>
      <w:pPr>
        <w:ind w:hanging="420" w:left="1260"/>
      </w:pPr>
      <w:rPr>
        <w:rFonts w:hint="eastAsia"/>
      </w:rPr>
    </w:lvl>
    <w:lvl w:ilvl="3" w:tentative="0">
      <w:start w:val="1"/>
      <w:numFmt w:val="decimal"/>
      <w:lvlText w:val="%4."/>
      <w:lvlJc w:val="left"/>
      <w:pPr>
        <w:ind w:hanging="420" w:left="1680"/>
      </w:pPr>
      <w:rPr>
        <w:rFonts w:hint="eastAsia"/>
      </w:rPr>
    </w:lvl>
    <w:lvl w:ilvl="4" w:tentative="0">
      <w:start w:val="1"/>
      <w:numFmt w:val="lowerLetter"/>
      <w:lvlText w:val="%5)"/>
      <w:lvlJc w:val="left"/>
      <w:pPr>
        <w:ind w:hanging="420" w:left="2100"/>
      </w:pPr>
      <w:rPr>
        <w:rFonts w:hint="eastAsia"/>
      </w:rPr>
    </w:lvl>
    <w:lvl w:ilvl="5" w:tentative="0">
      <w:start w:val="1"/>
      <w:numFmt w:val="lowerRoman"/>
      <w:lvlText w:val="%6."/>
      <w:lvlJc w:val="right"/>
      <w:pPr>
        <w:ind w:hanging="420" w:left="2520"/>
      </w:pPr>
      <w:rPr>
        <w:rFonts w:hint="eastAsia"/>
      </w:rPr>
    </w:lvl>
    <w:lvl w:ilvl="6" w:tentative="0">
      <w:start w:val="1"/>
      <w:numFmt w:val="decimal"/>
      <w:lvlText w:val="%7."/>
      <w:lvlJc w:val="left"/>
      <w:pPr>
        <w:ind w:hanging="420" w:left="2940"/>
      </w:pPr>
      <w:rPr>
        <w:rFonts w:hint="eastAsia"/>
      </w:rPr>
    </w:lvl>
    <w:lvl w:ilvl="7" w:tentative="0">
      <w:start w:val="1"/>
      <w:numFmt w:val="lowerLetter"/>
      <w:lvlText w:val="%8)"/>
      <w:lvlJc w:val="left"/>
      <w:pPr>
        <w:ind w:hanging="420" w:left="3360"/>
      </w:pPr>
      <w:rPr>
        <w:rFonts w:hint="eastAsia"/>
      </w:rPr>
    </w:lvl>
    <w:lvl w:ilvl="8" w:tentative="0">
      <w:start w:val="1"/>
      <w:numFmt w:val="lowerRoman"/>
      <w:lvlText w:val="%9."/>
      <w:lvlJc w:val="right"/>
      <w:pPr>
        <w:ind w:hanging="420" w:left="3780"/>
      </w:pPr>
      <w:rPr>
        <w:rFonts w:hint="eastAsia"/>
      </w:rPr>
    </w:lvl>
  </w:abstractNum>
  <w:abstractNum w:abstractNumId="2">
    <w:nsid w:val="383ED331"/>
    <w:multiLevelType w:val="singleLevel"/>
    <w:tmpl w:val="383ED331"/>
    <w:lvl w:ilvl="0" w:tentative="0">
      <w:start w:val="2"/>
      <w:numFmt w:val="decimal"/>
      <w:suff w:val="space"/>
      <w:lvlText w:val="%1."/>
      <w:lvlJc w:val="left"/>
    </w:lvl>
  </w:abstractNum>
  <w:abstractNum w:abstractNumId="3">
    <w:nsid w:val="6E091763"/>
    <w:multiLevelType w:val="multilevel"/>
    <w:tmpl w:val="6E091763"/>
    <w:lvl w:ilvl="0" w:tentative="0">
      <w:start w:val="1"/>
      <w:numFmt w:val="decimal"/>
      <w:lvlText w:val="%1."/>
      <w:lvlJc w:val="left"/>
      <w:pPr>
        <w:ind w:hanging="420" w:left="420"/>
      </w:pPr>
      <w:rPr>
        <w:rFonts w:hint="eastAsia"/>
      </w:rPr>
    </w:lvl>
    <w:lvl w:ilvl="1" w:tentative="0">
      <w:start w:val="1"/>
      <w:numFmt w:val="lowerLetter"/>
      <w:lvlText w:val="%2)"/>
      <w:lvlJc w:val="left"/>
      <w:pPr>
        <w:ind w:hanging="420" w:left="840"/>
      </w:pPr>
      <w:rPr>
        <w:rFonts w:hint="eastAsia"/>
      </w:rPr>
    </w:lvl>
    <w:lvl w:ilvl="2" w:tentative="0">
      <w:start w:val="1"/>
      <w:numFmt w:val="lowerRoman"/>
      <w:lvlText w:val="%3."/>
      <w:lvlJc w:val="right"/>
      <w:pPr>
        <w:ind w:hanging="420" w:left="1260"/>
      </w:pPr>
      <w:rPr>
        <w:rFonts w:hint="eastAsia"/>
      </w:rPr>
    </w:lvl>
    <w:lvl w:ilvl="3" w:tentative="0">
      <w:start w:val="1"/>
      <w:numFmt w:val="decimal"/>
      <w:lvlText w:val="%4."/>
      <w:lvlJc w:val="left"/>
      <w:pPr>
        <w:ind w:hanging="420" w:left="1680"/>
      </w:pPr>
      <w:rPr>
        <w:rFonts w:hint="eastAsia"/>
      </w:rPr>
    </w:lvl>
    <w:lvl w:ilvl="4" w:tentative="0">
      <w:start w:val="1"/>
      <w:numFmt w:val="lowerLetter"/>
      <w:lvlText w:val="%5)"/>
      <w:lvlJc w:val="left"/>
      <w:pPr>
        <w:ind w:hanging="420" w:left="2100"/>
      </w:pPr>
      <w:rPr>
        <w:rFonts w:hint="eastAsia"/>
      </w:rPr>
    </w:lvl>
    <w:lvl w:ilvl="5" w:tentative="0">
      <w:start w:val="1"/>
      <w:numFmt w:val="lowerRoman"/>
      <w:lvlText w:val="%6."/>
      <w:lvlJc w:val="right"/>
      <w:pPr>
        <w:ind w:hanging="420" w:left="2520"/>
      </w:pPr>
      <w:rPr>
        <w:rFonts w:hint="eastAsia"/>
      </w:rPr>
    </w:lvl>
    <w:lvl w:ilvl="6" w:tentative="0">
      <w:start w:val="1"/>
      <w:numFmt w:val="decimal"/>
      <w:lvlText w:val="%7."/>
      <w:lvlJc w:val="left"/>
      <w:pPr>
        <w:ind w:hanging="420" w:left="2940"/>
      </w:pPr>
      <w:rPr>
        <w:rFonts w:hint="eastAsia"/>
      </w:rPr>
    </w:lvl>
    <w:lvl w:ilvl="7" w:tentative="0">
      <w:start w:val="1"/>
      <w:numFmt w:val="lowerLetter"/>
      <w:lvlText w:val="%8)"/>
      <w:lvlJc w:val="left"/>
      <w:pPr>
        <w:ind w:hanging="420" w:left="3360"/>
      </w:pPr>
      <w:rPr>
        <w:rFonts w:hint="eastAsia"/>
      </w:rPr>
    </w:lvl>
    <w:lvl w:ilvl="8" w:tentative="0">
      <w:start w:val="1"/>
      <w:numFmt w:val="lowerRoman"/>
      <w:lvlText w:val="%9."/>
      <w:lvlJc w:val="right"/>
      <w:pPr>
        <w:ind w:hanging="420" w:left="3780"/>
      </w:pPr>
      <w:rPr>
        <w:rFonts w:hint="eastAsia"/>
      </w:rPr>
    </w:lvl>
  </w:abstractNum>
  <w:abstractNum w:abstractNumId="4">
    <w:nsid w:val="7E850615"/>
    <w:multiLevelType w:val="multilevel"/>
    <w:tmpl w:val="7E850615"/>
    <w:lvl w:ilvl="0" w:tentative="0">
      <w:start w:val="1"/>
      <w:numFmt w:val="decimal"/>
      <w:lvlText w:val="%1."/>
      <w:lvlJc w:val="left"/>
      <w:pPr>
        <w:ind w:hanging="420" w:left="420"/>
      </w:pPr>
      <w:rPr>
        <w:rFonts w:hint="eastAsia"/>
      </w:rPr>
    </w:lvl>
    <w:lvl w:ilvl="1" w:tentative="0">
      <w:start w:val="1"/>
      <w:numFmt w:val="lowerLetter"/>
      <w:lvlText w:val="%2)"/>
      <w:lvlJc w:val="left"/>
      <w:pPr>
        <w:ind w:hanging="420" w:left="840"/>
      </w:pPr>
      <w:rPr>
        <w:rFonts w:hint="eastAsia"/>
      </w:rPr>
    </w:lvl>
    <w:lvl w:ilvl="2" w:tentative="0">
      <w:start w:val="1"/>
      <w:numFmt w:val="lowerRoman"/>
      <w:lvlText w:val="%3."/>
      <w:lvlJc w:val="right"/>
      <w:pPr>
        <w:ind w:hanging="420" w:left="1260"/>
      </w:pPr>
      <w:rPr>
        <w:rFonts w:hint="eastAsia"/>
      </w:rPr>
    </w:lvl>
    <w:lvl w:ilvl="3" w:tentative="0">
      <w:start w:val="1"/>
      <w:numFmt w:val="decimal"/>
      <w:lvlText w:val="%4."/>
      <w:lvlJc w:val="left"/>
      <w:pPr>
        <w:ind w:hanging="420" w:left="1680"/>
      </w:pPr>
      <w:rPr>
        <w:rFonts w:hint="eastAsia"/>
      </w:rPr>
    </w:lvl>
    <w:lvl w:ilvl="4" w:tentative="0">
      <w:start w:val="1"/>
      <w:numFmt w:val="lowerLetter"/>
      <w:lvlText w:val="%5)"/>
      <w:lvlJc w:val="left"/>
      <w:pPr>
        <w:ind w:hanging="420" w:left="2100"/>
      </w:pPr>
      <w:rPr>
        <w:rFonts w:hint="eastAsia"/>
      </w:rPr>
    </w:lvl>
    <w:lvl w:ilvl="5" w:tentative="0">
      <w:start w:val="1"/>
      <w:numFmt w:val="lowerRoman"/>
      <w:lvlText w:val="%6."/>
      <w:lvlJc w:val="right"/>
      <w:pPr>
        <w:ind w:hanging="420" w:left="2520"/>
      </w:pPr>
      <w:rPr>
        <w:rFonts w:hint="eastAsia"/>
      </w:rPr>
    </w:lvl>
    <w:lvl w:ilvl="6" w:tentative="0">
      <w:start w:val="1"/>
      <w:numFmt w:val="decimal"/>
      <w:lvlText w:val="%7."/>
      <w:lvlJc w:val="left"/>
      <w:pPr>
        <w:ind w:hanging="420" w:left="2940"/>
      </w:pPr>
      <w:rPr>
        <w:rFonts w:hint="eastAsia"/>
      </w:rPr>
    </w:lvl>
    <w:lvl w:ilvl="7" w:tentative="0">
      <w:start w:val="1"/>
      <w:numFmt w:val="lowerLetter"/>
      <w:lvlText w:val="%8)"/>
      <w:lvlJc w:val="left"/>
      <w:pPr>
        <w:ind w:hanging="420" w:left="3360"/>
      </w:pPr>
      <w:rPr>
        <w:rFonts w:hint="eastAsia"/>
      </w:rPr>
    </w:lvl>
    <w:lvl w:ilvl="8" w:tentative="0">
      <w:start w:val="1"/>
      <w:numFmt w:val="lowerRoman"/>
      <w:lvlText w:val="%9."/>
      <w:lvlJc w:val="right"/>
      <w:pPr>
        <w:ind w:hanging="420" w:left="3780"/>
      </w:pPr>
      <w:rPr>
        <w:rFonts w:hint="eastAsi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w14="http://schemas.microsoft.com/office/word/2010/wordml" xmlns:wpsCustomData="http://www.wps.cn/officeDocument/2013/wpsCustomData"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bordersDoNotSurroundHeader/>
  <w:bordersDoNotSurroundFooter/>
  <w:defaultTabStop w:val="420"/>
  <w:drawingGridVerticalSpacing w:val="156"/>
  <w:displayHorizontalDrawingGridEvery w:val="0"/>
  <w:displayVerticalDrawingGridEvery w:val="2"/>
  <w:characterSpacingControl w:val="compressPunctuation"/>
  <w:zoom w:percent="16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00000000"/>
    <w:rsid w:val="02E00BAF"/>
    <w:rsid w:val="03062D2F"/>
    <w:rsid w:val="0E6172BB"/>
    <w:rsid w:val="25CD5914"/>
    <w:rsid w:val="2D3618BF"/>
    <w:rsid w:val="2E391F19"/>
    <w:rsid w:val="349D4DD1"/>
    <w:rsid w:val="36DB3077"/>
    <w:rsid w:val="37486044"/>
    <w:rsid w:val="37BA5B36"/>
    <w:rsid w:val="44B34B6B"/>
    <w:rsid w:val="46274400"/>
    <w:rsid w:val="632717A7"/>
    <w:rsid w:val="65FC79C6"/>
    <w:rsid w:val="787B7539"/>
    <w:rsid w:val="79002D6F"/>
    <w:rsid w:val="7BB01961"/>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ocDefaults>
    <w:rPrDefault>
      <w:rPr>
        <w:rFonts w:asciiTheme="minorHAnsi" w:hAnsiTheme="minorHAnsi" w:eastAsiaTheme="minorEastAsia" w:cstheme="minorBidi"/>
      </w:rPr>
    </w:rPrDefault>
    <w:pPrDefault/>
  </w:docDefaults>
  <w:latentStyles w:defLockedState="0" w:defSemiHidden="1" w:defUnhideWhenUsed="1" w:defQFormat="0" w:defUIPriority="99" w:count="260">
    <w:lsdException w:name="Balloon Text" w:uiPriority="0" w:semiHidden="0" w:unhideWhenUsed="0"/>
    <w:lsdException w:name="Block Text" w:uiPriority="0" w:semiHidden="0" w:unhideWhenUsed="0"/>
    <w:lsdException w:name="Body Text" w:uiPriority="0" w:semiHidden="0" w:unhideWhenUsed="0" w:qFormat="1"/>
    <w:lsdException w:name="Body Text 2" w:uiPriority="0" w:semiHidden="0" w:unhideWhenUsed="0"/>
    <w:lsdException w:name="Body Text 3" w:uiPriority="0" w:semiHidden="0" w:unhideWhenUsed="0"/>
    <w:lsdException w:name="Body Text First Indent" w:uiPriority="0" w:semiHidden="0" w:unhideWhenUsed="0"/>
    <w:lsdException w:name="Body Text First Indent 2" w:uiPriority="0" w:semiHidden="0" w:unhideWhenUsed="0" w:qFormat="1"/>
    <w:lsdException w:name="Body Text Indent" w:uiPriority="0" w:semiHidden="0" w:qFormat="1"/>
    <w:lsdException w:name="Body Text Indent 2" w:uiPriority="0" w:semiHidden="0" w:unhideWhenUsed="0"/>
    <w:lsdException w:name="Body Text Indent 3" w:uiPriority="0" w:semiHidden="0" w:unhideWhenUsed="0"/>
    <w:lsdException w:name="Closing" w:uiPriority="0" w:semiHidden="0" w:unhideWhenUsed="0"/>
    <w:lsdException w:name="Colorful Grid" w:uiPriority="73" w:semiHidden="0" w:unhideWhenUsed="0"/>
    <w:lsdException w:name="Colorful Grid Accent 1" w:uiPriority="73" w:semiHidden="0" w:unhideWhenUsed="0"/>
    <w:lsdException w:name="Colorful Grid Accent 2" w:uiPriority="73" w:semiHidden="0" w:unhideWhenUsed="0"/>
    <w:lsdException w:name="Colorful Grid Accent 3" w:uiPriority="73" w:semiHidden="0" w:unhideWhenUsed="0"/>
    <w:lsdException w:name="Colorful Grid Accent 4" w:uiPriority="73" w:semiHidden="0" w:unhideWhenUsed="0"/>
    <w:lsdException w:name="Colorful Grid Accent 5" w:uiPriority="73" w:semiHidden="0" w:unhideWhenUsed="0"/>
    <w:lsdException w:name="Colorful Grid Accent 6" w:uiPriority="73" w:semiHidden="0" w:unhideWhenUsed="0"/>
    <w:lsdException w:name="Colorful List" w:uiPriority="72" w:semiHidden="0" w:unhideWhenUsed="0"/>
    <w:lsdException w:name="Colorful List Accent 1" w:uiPriority="72" w:semiHidden="0" w:unhideWhenUsed="0"/>
    <w:lsdException w:name="Colorful List Accent 2" w:uiPriority="72" w:semiHidden="0" w:unhideWhenUsed="0"/>
    <w:lsdException w:name="Colorful List Accent 3" w:uiPriority="72" w:semiHidden="0" w:unhideWhenUsed="0"/>
    <w:lsdException w:name="Colorful List Accent 4" w:uiPriority="72" w:semiHidden="0" w:unhideWhenUsed="0"/>
    <w:lsdException w:name="Colorful List Accent 5" w:uiPriority="72" w:semiHidden="0" w:unhideWhenUsed="0"/>
    <w:lsdException w:name="Colorful List Accent 6" w:uiPriority="72" w:semiHidden="0" w:unhideWhenUsed="0"/>
    <w:lsdException w:name="Colorful Shading" w:uiPriority="71" w:semiHidden="0" w:unhideWhenUsed="0"/>
    <w:lsdException w:name="Colorful Shading Accent 1" w:uiPriority="71" w:semiHidden="0" w:unhideWhenUsed="0"/>
    <w:lsdException w:name="Colorful Shading Accent 2" w:uiPriority="71" w:semiHidden="0" w:unhideWhenUsed="0"/>
    <w:lsdException w:name="Colorful Shading Accent 3" w:uiPriority="71" w:semiHidden="0" w:unhideWhenUsed="0"/>
    <w:lsdException w:name="Colorful Shading Accent 4" w:uiPriority="71" w:semiHidden="0" w:unhideWhenUsed="0"/>
    <w:lsdException w:name="Colorful Shading Accent 5" w:uiPriority="71" w:semiHidden="0" w:unhideWhenUsed="0"/>
    <w:lsdException w:name="Colorful Shading Accent 6" w:uiPriority="71" w:semiHidden="0" w:unhideWhenUsed="0"/>
    <w:lsdException w:name="Dark List" w:uiPriority="70" w:semiHidden="0" w:unhideWhenUsed="0"/>
    <w:lsdException w:name="Dark List Accent 1" w:uiPriority="70" w:semiHidden="0" w:unhideWhenUsed="0"/>
    <w:lsdException w:name="Dark List Accent 2" w:uiPriority="70" w:semiHidden="0" w:unhideWhenUsed="0"/>
    <w:lsdException w:name="Dark List Accent 3" w:uiPriority="70" w:semiHidden="0" w:unhideWhenUsed="0"/>
    <w:lsdException w:name="Dark List Accent 4" w:uiPriority="70" w:semiHidden="0" w:unhideWhenUsed="0"/>
    <w:lsdException w:name="Dark List Accent 5" w:uiPriority="70" w:semiHidden="0" w:unhideWhenUsed="0"/>
    <w:lsdException w:name="Dark List Accent 6" w:uiPriority="70" w:semiHidden="0" w:unhideWhenUsed="0"/>
    <w:lsdException w:name="Date" w:uiPriority="0" w:semiHidden="0" w:unhideWhenUsed="0"/>
    <w:lsdException w:name="Default Paragraph Font" w:uiPriority="0" w:semiHidden="0" w:unhideWhenUsed="0" w:qFormat="1"/>
    <w:lsdException w:name="Document Map" w:uiPriority="0" w:semiHidden="0" w:unhideWhenUsed="0"/>
    <w:lsdException w:name="E-mail Signature" w:uiPriority="0" w:semiHidden="0" w:unhideWhenUsed="0"/>
    <w:lsdException w:name="Emphasis" w:uiPriority="0" w:semiHidden="0" w:unhideWhenUsed="0" w:qFormat="1"/>
    <w:lsdException w:name="FollowedHyperlink"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Hyperlink" w:uiPriority="0" w:semiHidden="0" w:unhideWhenUsed="0"/>
    <w:lsdException w:name="Light Grid" w:uiPriority="62" w:semiHidden="0" w:unhideWhenUsed="0"/>
    <w:lsdException w:name="Light Grid Accent 1" w:uiPriority="62" w:semiHidden="0" w:unhideWhenUsed="0"/>
    <w:lsdException w:name="Light Grid Accent 2" w:uiPriority="62" w:semiHidden="0" w:unhideWhenUsed="0"/>
    <w:lsdException w:name="Light Grid Accent 3" w:uiPriority="62" w:semiHidden="0" w:unhideWhenUsed="0"/>
    <w:lsdException w:name="Light Grid Accent 4" w:uiPriority="62" w:semiHidden="0" w:unhideWhenUsed="0"/>
    <w:lsdException w:name="Light Grid Accent 5" w:uiPriority="62" w:semiHidden="0" w:unhideWhenUsed="0"/>
    <w:lsdException w:name="Light Grid Accent 6" w:uiPriority="62" w:semiHidden="0" w:unhideWhenUsed="0"/>
    <w:lsdException w:name="Light List" w:uiPriority="61" w:semiHidden="0" w:unhideWhenUsed="0"/>
    <w:lsdException w:name="Light List Accent 1" w:uiPriority="61" w:semiHidden="0" w:unhideWhenUsed="0"/>
    <w:lsdException w:name="Light List Accent 2" w:uiPriority="61" w:semiHidden="0" w:unhideWhenUsed="0"/>
    <w:lsdException w:name="Light List Accent 3" w:uiPriority="61" w:semiHidden="0" w:unhideWhenUsed="0"/>
    <w:lsdException w:name="Light List Accent 4" w:uiPriority="61" w:semiHidden="0" w:unhideWhenUsed="0"/>
    <w:lsdException w:name="Light List Accent 5" w:uiPriority="61" w:semiHidden="0" w:unhideWhenUsed="0"/>
    <w:lsdException w:name="Light List Accent 6" w:uiPriority="61" w:semiHidden="0" w:unhideWhenUsed="0"/>
    <w:lsdException w:name="Light Shading" w:uiPriority="60" w:semiHidden="0" w:unhideWhenUsed="0"/>
    <w:lsdException w:name="Light Shading Accent 1" w:uiPriority="60" w:semiHidden="0" w:unhideWhenUsed="0"/>
    <w:lsdException w:name="Light Shading Accent 2" w:uiPriority="60" w:semiHidden="0" w:unhideWhenUsed="0"/>
    <w:lsdException w:name="Light Shading Accent 3" w:uiPriority="60" w:semiHidden="0" w:unhideWhenUsed="0"/>
    <w:lsdException w:name="Light Shading Accent 4" w:uiPriority="60" w:semiHidden="0" w:unhideWhenUsed="0"/>
    <w:lsdException w:name="Light Shading Accent 5" w:uiPriority="60" w:semiHidden="0" w:unhideWhenUsed="0"/>
    <w:lsdException w:name="Light Shading Accent 6" w:uiPriority="60" w:semiHidden="0" w:unhideWhenUsed="0"/>
    <w:lsdException w:name="List"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List Number"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Medium Grid 1" w:uiPriority="67" w:semiHidden="0" w:unhideWhenUsed="0"/>
    <w:lsdException w:name="Medium Grid 1 Accent 1" w:uiPriority="67" w:semiHidden="0" w:unhideWhenUsed="0"/>
    <w:lsdException w:name="Medium Grid 1 Accent 2" w:uiPriority="67" w:semiHidden="0" w:unhideWhenUsed="0"/>
    <w:lsdException w:name="Medium Grid 1 Accent 3" w:uiPriority="67" w:semiHidden="0" w:unhideWhenUsed="0"/>
    <w:lsdException w:name="Medium Grid 1 Accent 4" w:uiPriority="67" w:semiHidden="0" w:unhideWhenUsed="0"/>
    <w:lsdException w:name="Medium Grid 1 Accent 5" w:uiPriority="67" w:semiHidden="0" w:unhideWhenUsed="0"/>
    <w:lsdException w:name="Medium Grid 1 Accent 6" w:uiPriority="67" w:semiHidden="0" w:unhideWhenUsed="0"/>
    <w:lsdException w:name="Medium Grid 2" w:uiPriority="68" w:semiHidden="0" w:unhideWhenUsed="0"/>
    <w:lsdException w:name="Medium Grid 2 Accent 1" w:uiPriority="68" w:semiHidden="0" w:unhideWhenUsed="0"/>
    <w:lsdException w:name="Medium Grid 2 Accent 2" w:uiPriority="68" w:semiHidden="0" w:unhideWhenUsed="0"/>
    <w:lsdException w:name="Medium Grid 2 Accent 3" w:uiPriority="68" w:semiHidden="0" w:unhideWhenUsed="0"/>
    <w:lsdException w:name="Medium Grid 2 Accent 4" w:uiPriority="68" w:semiHidden="0" w:unhideWhenUsed="0"/>
    <w:lsdException w:name="Medium Grid 2 Accent 5" w:uiPriority="68" w:semiHidden="0" w:unhideWhenUsed="0"/>
    <w:lsdException w:name="Medium Grid 2 Accent 6" w:uiPriority="68" w:semiHidden="0" w:unhideWhenUsed="0"/>
    <w:lsdException w:name="Medium Grid 3" w:uiPriority="69" w:semiHidden="0" w:unhideWhenUsed="0"/>
    <w:lsdException w:name="Medium Grid 3 Accent 1" w:uiPriority="69" w:semiHidden="0" w:unhideWhenUsed="0"/>
    <w:lsdException w:name="Medium Grid 3 Accent 2" w:uiPriority="69" w:semiHidden="0" w:unhideWhenUsed="0"/>
    <w:lsdException w:name="Medium Grid 3 Accent 3" w:uiPriority="69" w:semiHidden="0" w:unhideWhenUsed="0"/>
    <w:lsdException w:name="Medium Grid 3 Accent 4" w:uiPriority="69" w:semiHidden="0" w:unhideWhenUsed="0"/>
    <w:lsdException w:name="Medium Grid 3 Accent 5" w:uiPriority="69" w:semiHidden="0" w:unhideWhenUsed="0"/>
    <w:lsdException w:name="Medium Grid 3 Accent 6" w:uiPriority="69" w:semiHidden="0" w:unhideWhenUsed="0"/>
    <w:lsdException w:name="Medium List 1" w:uiPriority="65" w:semiHidden="0" w:unhideWhenUsed="0"/>
    <w:lsdException w:name="Medium List 1 Accent 1" w:uiPriority="65" w:semiHidden="0" w:unhideWhenUsed="0"/>
    <w:lsdException w:name="Medium List 1 Accent 2" w:uiPriority="65" w:semiHidden="0" w:unhideWhenUsed="0"/>
    <w:lsdException w:name="Medium List 1 Accent 3" w:uiPriority="65" w:semiHidden="0" w:unhideWhenUsed="0"/>
    <w:lsdException w:name="Medium List 1 Accent 4" w:uiPriority="65" w:semiHidden="0" w:unhideWhenUsed="0"/>
    <w:lsdException w:name="Medium List 1 Accent 5" w:uiPriority="65" w:semiHidden="0" w:unhideWhenUsed="0"/>
    <w:lsdException w:name="Medium List 1 Accent 6" w:uiPriority="65" w:semiHidden="0" w:unhideWhenUsed="0"/>
    <w:lsdException w:name="Medium List 2" w:uiPriority="66" w:semiHidden="0" w:unhideWhenUsed="0"/>
    <w:lsdException w:name="Medium List 2 Accent 1" w:uiPriority="66" w:semiHidden="0" w:unhideWhenUsed="0"/>
    <w:lsdException w:name="Medium List 2 Accent 2" w:uiPriority="66" w:semiHidden="0" w:unhideWhenUsed="0"/>
    <w:lsdException w:name="Medium List 2 Accent 3" w:uiPriority="66" w:semiHidden="0" w:unhideWhenUsed="0"/>
    <w:lsdException w:name="Medium List 2 Accent 4" w:uiPriority="66" w:semiHidden="0" w:unhideWhenUsed="0"/>
    <w:lsdException w:name="Medium List 2 Accent 5" w:uiPriority="66" w:semiHidden="0" w:unhideWhenUsed="0"/>
    <w:lsdException w:name="Medium List 2 Accent 6" w:uiPriority="66" w:semiHidden="0" w:unhideWhenUsed="0"/>
    <w:lsdException w:name="Medium Shading 1" w:uiPriority="63" w:semiHidden="0" w:unhideWhenUsed="0"/>
    <w:lsdException w:name="Medium Shading 1 Accent 1" w:uiPriority="63" w:semiHidden="0" w:unhideWhenUsed="0"/>
    <w:lsdException w:name="Medium Shading 1 Accent 2" w:uiPriority="63" w:semiHidden="0" w:unhideWhenUsed="0"/>
    <w:lsdException w:name="Medium Shading 1 Accent 3" w:uiPriority="63" w:semiHidden="0" w:unhideWhenUsed="0"/>
    <w:lsdException w:name="Medium Shading 1 Accent 4" w:uiPriority="63" w:semiHidden="0" w:unhideWhenUsed="0"/>
    <w:lsdException w:name="Medium Shading 1 Accent 5" w:uiPriority="63" w:semiHidden="0" w:unhideWhenUsed="0"/>
    <w:lsdException w:name="Medium Shading 1 Accent 6" w:uiPriority="63" w:semiHidden="0" w:unhideWhenUsed="0"/>
    <w:lsdException w:name="Medium Shading 2" w:uiPriority="64" w:semiHidden="0" w:unhideWhenUsed="0"/>
    <w:lsdException w:name="Medium Shading 2 Accent 1" w:uiPriority="64" w:semiHidden="0" w:unhideWhenUsed="0"/>
    <w:lsdException w:name="Medium Shading 2 Accent 2" w:uiPriority="64" w:semiHidden="0" w:unhideWhenUsed="0"/>
    <w:lsdException w:name="Medium Shading 2 Accent 3" w:uiPriority="64" w:semiHidden="0" w:unhideWhenUsed="0"/>
    <w:lsdException w:name="Medium Shading 2 Accent 4" w:uiPriority="64" w:semiHidden="0" w:unhideWhenUsed="0"/>
    <w:lsdException w:name="Medium Shading 2 Accent 5" w:uiPriority="64" w:semiHidden="0" w:unhideWhenUsed="0"/>
    <w:lsdException w:name="Medium Shading 2 Accent 6" w:uiPriority="64" w:semiHidden="0" w:unhideWhenUsed="0"/>
    <w:lsdException w:name="Message Header" w:uiPriority="0" w:semiHidden="0" w:unhideWhenUsed="0"/>
    <w:lsdException w:name="Normal" w:uiPriority="0" w:semiHidden="0" w:unhideWhenUsed="0" w:qFormat="1"/>
    <w:lsdException w:name="Normal (Web)" w:uiPriority="0" w:semiHidden="0" w:unhideWhenUsed="0"/>
    <w:lsdException w:name="Normal Indent" w:uiPriority="0" w:semiHidden="0" w:unhideWhenUsed="0"/>
    <w:lsdException w:name="Normal Table" w:uiPriority="0" w:unhideWhenUsed="0" w:qFormat="1"/>
    <w:lsdException w:name="Note Heading" w:uiPriority="0" w:semiHidden="0" w:unhideWhenUsed="0"/>
    <w:lsdException w:name="Plain Text" w:uiPriority="0" w:semiHidden="0" w:unhideWhenUsed="0" w:qFormat="1"/>
    <w:lsdException w:name="Salutation" w:uiPriority="0" w:semiHidden="0" w:unhideWhenUsed="0"/>
    <w:lsdException w:name="Signature" w:uiPriority="0" w:semiHidden="0" w:unhideWhenUsed="0"/>
    <w:lsdException w:name="Strong" w:uiPriority="0" w:semiHidden="0" w:unhideWhenUsed="0" w:qFormat="1"/>
    <w:lsdException w:name="Subtitle" w:uiPriority="0" w:semiHidden="0" w:unhideWhenUsed="0" w:qFormat="1"/>
    <w:lsdException w:name="Table 3D effects 1" w:uiPriority="0" w:semiHidden="0" w:unhideWhenUsed="0"/>
    <w:lsdException w:name="Table 3D effects 2" w:uiPriority="0" w:semiHidden="0" w:unhideWhenUsed="0"/>
    <w:lsdException w:name="Table 3D effects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Contemporary" w:uiPriority="0" w:semiHidden="0" w:unhideWhenUsed="0"/>
    <w:lsdException w:name="Table Elegant" w:uiPriority="0" w:semiHidden="0" w:unhideWhenUsed="0"/>
    <w:lsdException w:name="Table Grid"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Professional"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Subtle 1" w:uiPriority="0" w:semiHidden="0" w:unhideWhenUsed="0"/>
    <w:lsdException w:name="Table Subtle 2" w:uiPriority="0" w:semiHidden="0" w:unhideWhenUsed="0"/>
    <w:lsdException w:name="Table Theme"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Title" w:uiPriority="0" w:semiHidden="0" w:unhideWhenUsed="0" w:qFormat="1"/>
    <w:lsdException w:name="annotation reference" w:uiPriority="0" w:semiHidden="0" w:unhideWhenUsed="0"/>
    <w:lsdException w:name="annotation subject" w:uiPriority="0" w:semiHidden="0" w:unhideWhenUsed="0"/>
    <w:lsdException w:name="annotation text" w:uiPriority="0" w:semiHidden="0" w:unhideWhenUsed="0"/>
    <w:lsdException w:name="caption" w:uiPriority="0" w:qFormat="1"/>
    <w:lsdException w:name="endnote reference" w:uiPriority="0" w:semiHidden="0" w:unhideWhenUsed="0"/>
    <w:lsdException w:name="endnote text" w:uiPriority="0" w:semiHidden="0" w:unhideWhenUsed="0"/>
    <w:lsdException w:name="envelope address" w:uiPriority="0" w:semiHidden="0" w:unhideWhenUsed="0"/>
    <w:lsdException w:name="envelope return" w:uiPriority="0" w:semiHidden="0" w:unhideWhenUsed="0"/>
    <w:lsdException w:name="footer" w:uiPriority="0" w:semiHidden="0" w:unhideWhenUsed="0" w:qFormat="1"/>
    <w:lsdException w:name="footnote reference" w:uiPriority="0" w:semiHidden="0" w:unhideWhenUsed="0"/>
    <w:lsdException w:name="footnote text" w:uiPriority="0" w:semiHidden="0" w:unhideWhenUsed="0"/>
    <w:lsdException w:name="header" w:uiPriority="0" w:semiHidden="0" w:unhideWhenUsed="0" w:qFormat="1"/>
    <w:lsdException w:name="heading 1" w:uiPriority="0" w:semiHidden="0" w:unhideWhenUsed="0" w:qFormat="1"/>
    <w:lsdException w:name="heading 2" w:uiPriority="0" w:semiHidden="0" w:unhideWhenUsed="0" w:qFormat="1"/>
    <w:lsdException w:name="heading 3" w:uiPriority="0" w:semiHidden="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index heading" w:uiPriority="0" w:semiHidden="0" w:unhideWhenUsed="0"/>
    <w:lsdException w:name="line number" w:uiPriority="0" w:semiHidden="0" w:unhideWhenUsed="0"/>
    <w:lsdException w:name="macro" w:uiPriority="0" w:semiHidden="0" w:unhideWhenUsed="0"/>
    <w:lsdException w:name="page number" w:uiPriority="0" w:semiHidden="0" w:unhideWhenUsed="0"/>
    <w:lsdException w:name="table of authorities" w:uiPriority="0" w:semiHidden="0" w:unhideWhenUsed="0"/>
    <w:lsdException w:name="table of figures" w:uiPriority="0" w:semiHidden="0" w:unhideWhenUsed="0"/>
    <w:lsdException w:name="toa heading" w:uiPriority="0" w:semiHidden="0" w:unhideWhenUsed="0"/>
    <w:lsdException w:name="toc 1" w:uiPriority="0" w:semiHidden="0" w:unhideWhenUsed="0" w:qFormat="1"/>
    <w:lsdException w:name="toc 2" w:uiPriority="0" w:semiHidden="0" w:unhideWhenUsed="0" w:qFormat="1"/>
    <w:lsdException w:name="toc 3" w:uiPriority="0" w:semiHidden="0" w:unhideWhenUsed="0" w:qFormat="1"/>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atentStyles>
  <w:style w:type="paragraph" w:styleId="1" w:default="1">
    <w:name w:val="Normal"/>
    <w:uiPriority w:val="0"/>
    <w:qFormat/>
    <w:pPr>
      <w:jc w:val="both"/>
      <w:widowControl w:val="0"/>
    </w:pPr>
    <w:rPr>
      <w:sz w:val="21"/>
      <w:lang w:val="en-US" w:eastAsia="zh-CN" w:bidi="ar-SA"/>
      <w:kern w:val="2"/>
      <w:szCs w:val="24"/>
      <w:rFonts w:ascii="Times New Roman" w:hAnsi="Times New Roman" w:eastAsia="宋体" w:cs="Times New Roman"/>
    </w:rPr>
  </w:style>
  <w:style w:type="paragraph" w:styleId="4">
    <w:name w:val="heading 1"/>
    <w:basedOn w:val="1"/>
    <w:link w:val="20"/>
    <w:uiPriority w:val="0"/>
    <w:qFormat/>
    <w:pPr>
      <w:keepNext w:val="1"/>
      <w:keepLines w:val="1"/>
      <w:outlineLvl w:val="0"/>
      <w:spacing w:after="330" w:afterLines="0" w:before="340" w:beforeLines="0" w:line="578" w:lineRule="auto"/>
    </w:pPr>
    <w:rPr>
      <w:b w:val="1"/>
      <w:sz w:val="44"/>
      <w:bCs/>
      <w:kern w:val="44"/>
      <w:szCs w:val="44"/>
    </w:rPr>
  </w:style>
  <w:style w:type="paragraph" w:styleId="5">
    <w:name w:val="heading 2"/>
    <w:basedOn w:val="1"/>
    <w:link w:val="19"/>
    <w:uiPriority w:val="0"/>
    <w:qFormat/>
    <w:pPr>
      <w:keepNext w:val="1"/>
      <w:keepLines w:val="1"/>
      <w:outlineLvl w:val="1"/>
      <w:spacing w:after="260" w:afterLines="0" w:before="260" w:beforeLines="0" w:line="416" w:lineRule="auto"/>
    </w:pPr>
    <w:rPr>
      <w:b w:val="1"/>
      <w:sz w:val="32"/>
      <w:bCs/>
      <w:szCs w:val="32"/>
      <w:rFonts w:ascii="Arial" w:hAnsi="Arial" w:eastAsia="宋体"/>
    </w:rPr>
  </w:style>
  <w:style w:type="paragraph" w:styleId="6">
    <w:name w:val="heading 3"/>
    <w:basedOn w:val="1"/>
    <w:uiPriority w:val="0"/>
    <w:unhideWhenUsed/>
    <w:qFormat/>
    <w:pPr>
      <w:keepNext w:val="1"/>
      <w:keepLines w:val="1"/>
      <w:outlineLvl w:val="2"/>
      <w:spacing w:after="260" w:afterLines="0" w:afterAutospacing="0" w:before="260" w:beforeLines="0" w:beforeAutospacing="0" w:line="413" w:lineRule="auto"/>
    </w:pPr>
    <w:rPr>
      <w:b w:val="1"/>
      <w:sz w:val="30"/>
    </w:rPr>
  </w:style>
  <w:style w:type="character" w:styleId="16" w:default="1">
    <w:name w:val="Default Paragraph Font"/>
    <w:uiPriority w:val="0"/>
    <w:qFormat/>
  </w:style>
  <w:style w:type="table" w:styleId="15" w:default="1">
    <w:name w:val="Normal Table"/>
    <w:uiPriority w:val="0"/>
    <w:semiHidden/>
    <w:qFormat/>
    <w:tblPr>
      <w:tblCellMar>
        <w:top w:type="dxa" w:w="0.000000"/>
        <w:bottom w:type="dxa" w:w="0.000000"/>
        <w:left w:type="dxa" w:w="108.000000"/>
        <w:right w:type="dxa" w:w="108.000000"/>
      </w:tblCellMar>
    </w:tblPr>
  </w:style>
  <w:style w:type="paragraph" w:styleId="2">
    <w:name w:val="Body Text First Indent 2"/>
    <w:basedOn w:val="3"/>
    <w:uiPriority w:val="0"/>
    <w:qFormat/>
    <w:pPr>
      <w:ind w:firstLine="420"/>
    </w:pPr>
  </w:style>
  <w:style w:type="paragraph" w:styleId="3">
    <w:name w:val="Body Text Indent"/>
    <w:basedOn w:val="1"/>
    <w:uiPriority w:val="0"/>
    <w:unhideWhenUsed/>
    <w:qFormat/>
    <w:pPr>
      <w:spacing w:after="120" w:afterLines="0" w:lineRule="auto"/>
      <w:ind w:left="420" w:leftChars="200"/>
    </w:pPr>
  </w:style>
  <w:style w:type="paragraph" w:styleId="7">
    <w:name w:val="Body Text"/>
    <w:basedOn w:val="1"/>
    <w:uiPriority w:val="0"/>
    <w:qFormat/>
    <w:rPr>
      <w:color w:val="FF0000"/>
      <w:sz w:val="24"/>
      <w:bCs/>
    </w:rPr>
  </w:style>
  <w:style w:type="paragraph" w:styleId="8">
    <w:name w:val="toc 3"/>
    <w:basedOn w:val="1"/>
    <w:uiPriority w:val="0"/>
    <w:qFormat/>
    <w:pPr>
      <w:ind w:left="840" w:leftChars="400"/>
    </w:pPr>
  </w:style>
  <w:style w:type="paragraph" w:styleId="9">
    <w:name w:val="Plain Text"/>
    <w:basedOn w:val="1"/>
    <w:uiPriority w:val="0"/>
    <w:qFormat/>
    <w:rPr>
      <w:sz w:val="24"/>
      <w:szCs w:val="20"/>
      <w:rFonts w:ascii="宋体" w:hAnsi="宋体" w:eastAsia="宋体"/>
    </w:rPr>
  </w:style>
  <w:style w:type="paragraph" w:styleId="10">
    <w:name w:val="footer"/>
    <w:basedOn w:val="1"/>
    <w:uiPriority w:val="0"/>
    <w:qFormat/>
    <w:pPr>
      <w:snapToGrid w:val="0"/>
      <w:jc w:val="left"/>
      <w:tabs>
        <w:tab w:val="center" w:pos="4153"/>
        <w:tab w:val="right" w:pos="8306"/>
      </w:tabs>
    </w:pPr>
    <w:rPr>
      <w:sz w:val="18"/>
    </w:rPr>
  </w:style>
  <w:style w:type="paragraph" w:styleId="11">
    <w:name w:val="header"/>
    <w:basedOn w:val="1"/>
    <w:uiPriority w:val="0"/>
    <w:qFormat/>
    <w:pPr>
      <w:snapToGrid w:val="0"/>
      <w:jc w:val="both"/>
      <w:outlineLvl w:val="9"/>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2">
    <w:name w:val="toc 1"/>
    <w:basedOn w:val="1"/>
    <w:uiPriority w:val="0"/>
    <w:qFormat/>
  </w:style>
  <w:style w:type="paragraph" w:styleId="13">
    <w:name w:val="toc 2"/>
    <w:basedOn w:val="1"/>
    <w:uiPriority w:val="0"/>
    <w:qFormat/>
    <w:pPr>
      <w:ind w:left="420" w:leftChars="200"/>
    </w:pPr>
  </w:style>
  <w:style w:type="paragraph" w:styleId="14">
    <w:name w:val="Title"/>
    <w:basedOn w:val="1"/>
    <w:uiPriority w:val="0"/>
    <w:qFormat/>
    <w:pPr>
      <w:snapToGrid w:val="0"/>
      <w:jc w:val="center"/>
      <w:widowControl/>
    </w:pPr>
    <w:rPr>
      <w:b w:val="1"/>
      <w:spacing w:val="8"/>
      <w:sz w:val="24"/>
      <w:lang w:val="en-GB"/>
      <w:bCs/>
      <w:kern w:val="28"/>
      <w:rFonts w:ascii="Arial" w:hAnsi="Arial" w:cs="Arial"/>
    </w:rPr>
  </w:style>
  <w:style w:type="paragraph" w:styleId="17" w:customStyle="1">
    <w:name w:val="WPSOffice手动目录 1"/>
    <w:uiPriority w:val="0"/>
    <w:qFormat/>
    <w:pPr>
      <w:ind w:leftChars="0"/>
    </w:pPr>
    <w:rPr>
      <w:sz w:val="20"/>
      <w:szCs w:val="20"/>
      <w:rFonts w:asciiTheme="minorHAnsi" w:hAnsiTheme="minorHAnsi" w:eastAsiaTheme="minorEastAsia" w:cstheme="minorBidi"/>
    </w:rPr>
  </w:style>
  <w:style w:type="paragraph" w:styleId="18" w:customStyle="1">
    <w:name w:val="WPSOffice手动目录 2"/>
    <w:uiPriority w:val="0"/>
    <w:qFormat/>
    <w:pPr>
      <w:ind w:leftChars="200"/>
    </w:pPr>
    <w:rPr>
      <w:sz w:val="20"/>
      <w:szCs w:val="20"/>
      <w:rFonts w:asciiTheme="minorHAnsi" w:hAnsiTheme="minorHAnsi" w:eastAsiaTheme="minorEastAsia" w:cstheme="minorBidi"/>
    </w:rPr>
  </w:style>
  <w:style w:type="character" w:styleId="19" w:customStyle="1">
    <w:name w:val="标题 2 Char"/>
    <w:link w:val="5"/>
    <w:uiPriority w:val="0"/>
    <w:qFormat/>
    <w:rPr>
      <w:b w:val="1"/>
      <w:sz w:val="32"/>
      <w:bCs/>
      <w:szCs w:val="32"/>
      <w:rFonts w:ascii="Arial" w:hAnsi="Arial" w:eastAsia="宋体"/>
    </w:rPr>
  </w:style>
  <w:style w:type="character" w:styleId="20" w:customStyle="1">
    <w:name w:val="标题 1 Char"/>
    <w:link w:val="4"/>
    <w:uiPriority w:val="0"/>
    <w:qFormat/>
    <w:rPr>
      <w:b w:val="1"/>
      <w:sz w:val="44"/>
      <w:bCs/>
      <w:kern w:val="44"/>
      <w:szCs w:val="44"/>
    </w:rPr>
  </w:style>
  <w:style w:type="paragraph" w:styleId="21" w:customStyle="1">
    <w:name w:val="WPSOffice手动目录 3"/>
    <w:uiPriority w:val="0"/>
    <w:qFormat/>
    <w:pPr>
      <w:ind w:leftChars="400"/>
    </w:pPr>
    <w:rPr>
      <w:sz w:val="20"/>
      <w:szCs w:val="20"/>
      <w:rFonts w:asciiTheme="minorHAnsi" w:hAnsiTheme="minorHAnsi" w:eastAsiaTheme="minorEastAsia" w:cstheme="minorBidi"/>
    </w:rPr>
  </w:style>
  <w:style w:type="paragraph" w:styleId="22" w:customStyle="1">
    <w:name w:val="HtmlNormal"/>
    <w:basedOn w:val="1"/>
    <w:uiPriority w:val="0"/>
    <w:qFormat/>
    <w:pPr>
      <w:jc w:val="left"/>
      <w:spacing w:after="100" w:afterAutospacing="1" w:before="100" w:beforeAutospacing="1" w:lineRule="auto"/>
    </w:pPr>
    <w:rPr>
      <w:sz w:val="24"/>
      <w:kern w:val="0"/>
    </w:rPr>
  </w:style>
  <w:style w:type="character" w:styleId="23" w:customStyle="1">
    <w:name w:val="NormalCharacter"/>
    <w:uiPriority w:val="0"/>
    <w:qFormat/>
  </w:style>
</w:styles>
</file>

<file path=word/_rels/document.xml.rels><?xml version="1.0" encoding="UTF-8" standalone="yes"?><Relationships xmlns="http://schemas.openxmlformats.org/package/2006/relationships"><Relationship Id="rId21" Type="http://schemas.openxmlformats.org/officeDocument/2006/relationships/image" Target="media/image3.emf" /><Relationship Id="rId16" Type="http://schemas.openxmlformats.org/officeDocument/2006/relationships/image" Target="media/image3.jpeg" /><Relationship Id="rId15" Type="http://schemas.openxmlformats.org/officeDocument/2006/relationships/image" Target="media/image2.jpeg" /><Relationship Id="rId13" Type="http://schemas.openxmlformats.org/officeDocument/2006/relationships/image" Target="media/image2.png" /><Relationship Id="rId12" Type="http://schemas.openxmlformats.org/officeDocument/2006/relationships/header" Target="header4.xml" /><Relationship Id="rId11" Type="http://schemas.openxmlformats.org/officeDocument/2006/relationships/image" Target="media/image1.png" /><Relationship Id="rId6" Type="http://schemas.openxmlformats.org/officeDocument/2006/relationships/footer" Target="footer1.xml" /><Relationship Id="rId10" Type="http://schemas.openxmlformats.org/officeDocument/2006/relationships/footer" Target="footer3.xml" /><Relationship Id="rId19" Type="http://schemas.openxmlformats.org/officeDocument/2006/relationships/image" Target="media/image1.emf" /><Relationship Id="rId9" Type="http://schemas.openxmlformats.org/officeDocument/2006/relationships/header" Target="header3.xml" /><Relationship Id="rId17" Type="http://schemas.openxmlformats.org/officeDocument/2006/relationships/image" Target="media/image3.png" /><Relationship Id="rId8" Type="http://schemas.openxmlformats.org/officeDocument/2006/relationships/footer" Target="footer2.xml" /><Relationship Id="rId5" Type="http://schemas.openxmlformats.org/officeDocument/2006/relationships/header" Target="header1.xml" /><Relationship Id="rId20" Type="http://schemas.openxmlformats.org/officeDocument/2006/relationships/image" Target="media/image2.emf" /><Relationship Id="rId0" Type="http://schemas.openxmlformats.org/officeDocument/2006/relationships/styles" Target="styles.xml" /><Relationship Id="rId4" Type="http://schemas.openxmlformats.org/officeDocument/2006/relationships/numbering" Target="numbering.xml" /><Relationship Id="rId14" Type="http://schemas.openxmlformats.org/officeDocument/2006/relationships/image" Target="media/image1.jpeg" /><Relationship Id="rId7" Type="http://schemas.openxmlformats.org/officeDocument/2006/relationships/header" Target="header2.xml" /><Relationship Id="rId18" Type="http://schemas.openxmlformats.org/officeDocument/2006/relationships/image" Target="media/image4.png" /><Relationship Id="rId3" Type="http://schemas.openxmlformats.org/officeDocument/2006/relationships/theme" Target="theme/theme1.xml" /><Relationship Id="rId2" Type="http://schemas.openxmlformats.org/officeDocument/2006/relationships/fontTable" Target="fontTable.xml" /><Relationship Id="rId1"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blurRad="57150" a:dist="19050" a:dir="5400000" a:algn="ctr" a: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Normal.dotm</Template>
  <TotalTime>0</TotalTime>
  <Pages>16</Pages>
  <Words>3882</Words>
  <Characters>4575</Characters>
  <Application>WPS Office_11.1.0.14309_F1E327BC-269C-435d-A152-05C5408002CA</Application>
  <DocSecurity>0</DocSecurity>
  <Lines>0</Lines>
  <Paragraphs>0</Paragraphs>
  <ScaleCrop>false</ScaleCrop>
  <Company/>
  <LinksUpToDate>false</LinksUpToDate>
  <CharactersWithSpaces>4880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91047</dc:creator>
  <cp:keywords/>
  <dc:description/>
  <cp:lastModifiedBy>丁</cp:lastModifiedBy>
  <cp:revision>0</cp:revision>
  <dcterms:created xsi:type="dcterms:W3CDTF">2021-04-08T06:05:00Z</dcterms:created>
  <dcterms:modified xsi:type="dcterms:W3CDTF">2023-07-02T01:42:00Z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2052-11.1.0.14309</vt:lpwstr>
  </property>
  <property fmtid="{D5CDD505-2E9C-101B-9397-08002B2CF9AE}" pid="3" name="ICV">
    <vt:lpwstr>4AD4AC63A5ED4BA287EEE5B72A5F0E92_13</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s>
        <w:spacing w:line="720" w:lineRule="auto"/>
        <w:jc w:val="both"/>
        <w:outlineLvl w:val="0"/>
        <w:rPr>
          <w:rFonts w:hint="eastAsia"/>
        </w:rPr>
      </w:pPr>
      <w:bookmarkStart w:id="0" w:name="_Toc9269"/>
      <w:r>
        <w:rPr>
          <w:rFonts w:hint="eastAsia"/>
        </w:rPr>
        <w:drawing>
          <wp:inline distT="0" distB="0" distL="114300" distR="114300">
            <wp:extent cx="1600200" cy="641350"/>
            <wp:effectExtent l="0" t="0" r="0" b="1397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1"/>
                    <a:stretch>
                      <a:fillRect/>
                    </a:stretch>
                  </pic:blipFill>
                  <pic:spPr>
                    <a:xfrm>
                      <a:off x="0" y="0"/>
                      <a:ext cx="1600200" cy="641350"/>
                    </a:xfrm>
                    <a:prstGeom prst="rect">
                      <a:avLst/>
                    </a:prstGeom>
                    <a:noFill/>
                    <a:ln>
                      <a:noFill/>
                    </a:ln>
                  </pic:spPr>
                </pic:pic>
              </a:graphicData>
            </a:graphic>
          </wp:inline>
        </w:drawing>
      </w:r>
      <w:bookmarkEnd w:id="0"/>
    </w:p>
    <w:p>
      <w:pPr>
        <w:pStyle w:val="2"/>
        <w:rPr>
          <w:rFonts w:hint="eastAsia"/>
        </w:rPr>
      </w:pPr>
    </w:p>
    <w:p>
      <w:pPr>
        <w:pStyle w:val="2"/>
        <w:rPr>
          <w:rFonts w:hint="eastAsia"/>
        </w:rPr>
      </w:pPr>
    </w:p>
    <w:p>
      <w:pPr>
        <w:tabs>
          <w:tab w:val="left" w:pos="180"/>
        </w:tabs>
        <w:spacing w:line="720" w:lineRule="auto"/>
        <w:jc w:val="center"/>
        <w:outlineLvl w:val="0"/>
        <w:rPr>
          <w:rFonts w:ascii="楷体" w:hAnsi="楷体" w:eastAsia="楷体" w:cs="宋体"/>
          <w:b/>
          <w:bCs/>
          <w:color w:val="FF0000"/>
          <w:sz w:val="60"/>
          <w:szCs w:val="60"/>
        </w:rPr>
      </w:pPr>
      <w:bookmarkStart w:id="1" w:name="_Toc21732"/>
      <w:r>
        <w:rPr>
          <w:rFonts w:hint="eastAsia" w:ascii="楷体" w:hAnsi="楷体" w:eastAsia="楷体" w:cs="宋体"/>
          <w:b/>
          <w:bCs/>
          <w:color w:val="0070C0"/>
          <w:sz w:val="60"/>
          <w:szCs w:val="60"/>
        </w:rPr>
        <w:t>变压器油色谱在线监测系统</w:t>
      </w:r>
      <w:bookmarkEnd w:id="1"/>
    </w:p>
    <w:p>
      <w:pPr>
        <w:tabs>
          <w:tab w:val="left" w:pos="180"/>
        </w:tabs>
        <w:spacing w:line="720" w:lineRule="auto"/>
        <w:jc w:val="center"/>
        <w:rPr>
          <w:b/>
          <w:color w:val="FF0000"/>
          <w:sz w:val="54"/>
          <w:szCs w:val="44"/>
        </w:rPr>
      </w:pPr>
    </w:p>
    <w:p>
      <w:pPr>
        <w:tabs>
          <w:tab w:val="left" w:pos="180"/>
        </w:tabs>
        <w:spacing w:line="720" w:lineRule="auto"/>
        <w:jc w:val="center"/>
        <w:outlineLvl w:val="0"/>
        <w:rPr>
          <w:rFonts w:ascii="楷体" w:hAnsi="楷体" w:eastAsia="楷体"/>
          <w:b/>
          <w:sz w:val="60"/>
          <w:szCs w:val="60"/>
        </w:rPr>
      </w:pPr>
      <w:bookmarkStart w:id="2" w:name="_Toc14798"/>
      <w:r>
        <w:rPr>
          <w:rFonts w:hint="eastAsia" w:ascii="楷体" w:hAnsi="楷体" w:eastAsia="楷体"/>
          <w:b/>
          <w:sz w:val="60"/>
          <w:szCs w:val="60"/>
        </w:rPr>
        <w:t>使用</w:t>
      </w:r>
      <w:r>
        <w:rPr>
          <w:rFonts w:ascii="楷体" w:hAnsi="楷体" w:eastAsia="楷体"/>
          <w:b/>
          <w:sz w:val="60"/>
          <w:szCs w:val="60"/>
        </w:rPr>
        <w:t>说明书</w:t>
      </w:r>
      <w:bookmarkEnd w:id="2"/>
    </w:p>
    <w:p>
      <w:pPr>
        <w:tabs>
          <w:tab w:val="left" w:pos="180"/>
        </w:tabs>
        <w:spacing w:line="720" w:lineRule="auto"/>
        <w:jc w:val="center"/>
        <w:rPr>
          <w:rFonts w:ascii="楷体" w:hAnsi="楷体" w:eastAsia="楷体"/>
          <w:b/>
          <w:sz w:val="60"/>
          <w:szCs w:val="60"/>
        </w:rPr>
      </w:pPr>
    </w:p>
    <w:p>
      <w:pPr>
        <w:tabs>
          <w:tab w:val="left" w:pos="180"/>
        </w:tabs>
        <w:spacing w:line="720" w:lineRule="auto"/>
        <w:jc w:val="center"/>
        <w:rPr>
          <w:rFonts w:ascii="楷体" w:hAnsi="楷体" w:eastAsia="楷体"/>
          <w:b/>
          <w:sz w:val="60"/>
          <w:szCs w:val="60"/>
        </w:rPr>
      </w:pPr>
    </w:p>
    <w:p>
      <w:pPr>
        <w:tabs>
          <w:tab w:val="left" w:pos="180"/>
        </w:tabs>
        <w:spacing w:line="720" w:lineRule="auto"/>
        <w:jc w:val="both"/>
        <w:rPr>
          <w:rFonts w:ascii="楷体" w:hAnsi="楷体" w:eastAsia="楷体"/>
          <w:b/>
          <w:sz w:val="60"/>
          <w:szCs w:val="60"/>
        </w:rPr>
      </w:pPr>
    </w:p>
    <w:p>
      <w:pPr>
        <w:ind w:firstLine="2711" w:firstLineChars="900"/>
        <w:rPr>
          <w:rFonts w:hint="eastAsia"/>
          <w:b/>
          <w:kern w:val="0"/>
          <w:sz w:val="30"/>
          <w:szCs w:val="30"/>
          <w:lang w:bidi="en-US"/>
        </w:rPr>
      </w:pPr>
    </w:p>
    <w:p>
      <w:pPr>
        <w:ind w:firstLine="2711" w:firstLineChars="900"/>
        <w:rPr>
          <w:b/>
          <w:sz w:val="30"/>
          <w:szCs w:val="30"/>
        </w:rPr>
      </w:pPr>
      <w:r>
        <w:rPr>
          <w:rFonts w:hint="eastAsia"/>
          <w:b/>
          <w:kern w:val="0"/>
          <w:sz w:val="30"/>
          <w:szCs w:val="30"/>
          <w:lang w:bidi="en-US"/>
        </w:rPr>
        <w:t>东方电子股份有限公司</w:t>
      </w:r>
    </w:p>
    <w:p>
      <w:pPr>
        <w:tabs>
          <w:tab w:val="left" w:pos="2410"/>
        </w:tabs>
        <w:jc w:val="center"/>
        <w:rPr>
          <w:rFonts w:ascii="黑体" w:hAnsi="黑体" w:eastAsia="黑体"/>
          <w:kern w:val="0"/>
          <w:sz w:val="28"/>
          <w:szCs w:val="28"/>
          <w:lang w:bidi="en-US"/>
        </w:rPr>
      </w:pPr>
      <w:r>
        <w:rPr>
          <w:rFonts w:hint="eastAsia" w:ascii="黑体" w:hAnsi="黑体" w:eastAsia="黑体"/>
          <w:kern w:val="0"/>
          <w:sz w:val="28"/>
          <w:szCs w:val="28"/>
          <w:lang w:val="en-US" w:eastAsia="zh-CN" w:bidi="en-US"/>
        </w:rPr>
        <w:t>2022年5</w:t>
      </w:r>
      <w:r>
        <w:rPr>
          <w:rFonts w:hint="eastAsia" w:ascii="黑体" w:hAnsi="黑体" w:eastAsia="黑体"/>
          <w:kern w:val="0"/>
          <w:sz w:val="28"/>
          <w:szCs w:val="28"/>
          <w:lang w:bidi="en-US"/>
        </w:rPr>
        <w:t>月</w:t>
      </w:r>
    </w:p>
    <w:p>
      <w:pPr>
        <w:tabs>
          <w:tab w:val="left" w:pos="180"/>
        </w:tabs>
        <w:spacing w:line="720" w:lineRule="auto"/>
        <w:jc w:val="center"/>
        <w:rPr>
          <w:rFonts w:ascii="楷体" w:hAnsi="楷体" w:eastAsia="楷体"/>
          <w:b/>
          <w:sz w:val="60"/>
          <w:szCs w:val="60"/>
        </w:rPr>
      </w:pPr>
    </w:p>
    <w:p>
      <w:pPr>
        <w:tabs>
          <w:tab w:val="left" w:pos="180"/>
        </w:tabs>
        <w:spacing w:line="720" w:lineRule="auto"/>
        <w:jc w:val="cente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pStyle w:val="2"/>
        <w:rPr>
          <w:lang w:val="en-US" w:eastAsia="zh-CN"/>
        </w:rPr>
      </w:pPr>
    </w:p>
    <w:p>
      <w:pPr>
        <w:pStyle w:val="2"/>
        <w:rPr>
          <w:lang w:val="en-US" w:eastAsia="zh-CN"/>
        </w:rPr>
      </w:pPr>
    </w:p>
    <w:p>
      <w:pPr>
        <w:widowControl/>
        <w:pBdr>
          <w:bottom w:val="single" w:color="4F81BD" w:sz="8" w:space="4"/>
        </w:pBdr>
        <w:spacing w:after="300"/>
        <w:ind w:left="0" w:leftChars="0" w:firstLine="0" w:firstLineChars="0"/>
        <w:contextualSpacing/>
        <w:jc w:val="left"/>
        <w:rPr>
          <w:rFonts w:hint="eastAsia" w:ascii="Cambria" w:hAnsi="Cambria"/>
          <w:spacing w:val="5"/>
          <w:kern w:val="28"/>
          <w:sz w:val="32"/>
          <w:szCs w:val="32"/>
          <w:lang w:bidi="en-US"/>
        </w:rPr>
      </w:pPr>
    </w:p>
    <w:p>
      <w:pPr>
        <w:widowControl/>
        <w:pBdr>
          <w:bottom w:val="single" w:color="4F81BD" w:sz="8" w:space="4"/>
        </w:pBdr>
        <w:spacing w:after="300"/>
        <w:ind w:left="0" w:leftChars="0" w:firstLine="0" w:firstLineChars="0"/>
        <w:contextualSpacing/>
        <w:jc w:val="left"/>
        <w:rPr>
          <w:rFonts w:ascii="Cambria" w:hAnsi="Cambria"/>
          <w:spacing w:val="5"/>
          <w:kern w:val="28"/>
          <w:sz w:val="32"/>
          <w:szCs w:val="32"/>
          <w:lang w:bidi="en-US"/>
        </w:rPr>
      </w:pPr>
      <w:r>
        <w:rPr>
          <w:rFonts w:hint="eastAsia" w:ascii="Cambria" w:hAnsi="Cambria"/>
          <w:spacing w:val="5"/>
          <w:kern w:val="28"/>
          <w:sz w:val="32"/>
          <w:szCs w:val="32"/>
          <w:lang w:bidi="en-US"/>
        </w:rPr>
        <w:t>版权声明</w:t>
      </w:r>
    </w:p>
    <w:p>
      <w:r>
        <w:rPr>
          <w:kern w:val="0"/>
          <w:lang w:bidi="en-US"/>
        </w:rPr>
        <w:t>Copyright © 20</w:t>
      </w:r>
      <w:r>
        <w:rPr>
          <w:rFonts w:hint="eastAsia"/>
          <w:kern w:val="0"/>
          <w:lang w:bidi="en-US"/>
        </w:rPr>
        <w:t>1</w:t>
      </w:r>
      <w:r>
        <w:rPr>
          <w:rFonts w:hint="eastAsia"/>
          <w:kern w:val="0"/>
          <w:lang w:val="en-US" w:eastAsia="zh-CN" w:bidi="en-US"/>
        </w:rPr>
        <w:t>9</w:t>
      </w:r>
      <w:r>
        <w:rPr>
          <w:kern w:val="0"/>
          <w:lang w:bidi="en-US"/>
        </w:rPr>
        <w:t> </w:t>
      </w:r>
      <w:r>
        <w:rPr>
          <w:rFonts w:hint="eastAsia"/>
          <w:kern w:val="0"/>
          <w:lang w:bidi="en-US"/>
        </w:rPr>
        <w:t>东方电子股份有限公司</w:t>
      </w:r>
    </w:p>
    <w:p>
      <w:pPr>
        <w:widowControl/>
        <w:spacing w:line="360" w:lineRule="auto"/>
        <w:ind w:firstLine="440" w:firstLineChars="200"/>
        <w:jc w:val="left"/>
        <w:rPr>
          <w:rFonts w:ascii="宋体" w:hAnsi="宋体" w:cs="Arial"/>
          <w:kern w:val="0"/>
          <w:sz w:val="22"/>
          <w:szCs w:val="22"/>
          <w:lang w:bidi="en-US"/>
        </w:rPr>
      </w:pPr>
      <w:r>
        <w:rPr>
          <w:rFonts w:ascii="宋体" w:hAnsi="宋体" w:cs="Arial"/>
          <w:kern w:val="0"/>
          <w:sz w:val="22"/>
          <w:szCs w:val="22"/>
          <w:lang w:bidi="en-US"/>
        </w:rPr>
        <w:t>我们对本</w:t>
      </w:r>
      <w:r>
        <w:rPr>
          <w:rFonts w:hint="eastAsia" w:ascii="宋体" w:hAnsi="宋体" w:cs="Arial"/>
          <w:kern w:val="0"/>
          <w:sz w:val="22"/>
          <w:szCs w:val="22"/>
          <w:lang w:bidi="en-US"/>
        </w:rPr>
        <w:t>说明书</w:t>
      </w:r>
      <w:r>
        <w:rPr>
          <w:rFonts w:ascii="宋体" w:hAnsi="宋体" w:cs="Arial"/>
          <w:kern w:val="0"/>
          <w:sz w:val="22"/>
          <w:szCs w:val="22"/>
          <w:lang w:bidi="en-US"/>
        </w:rPr>
        <w:t>及其中的内容具有全部的知识产权。除非特别授权，禁止复制或向第三方分发。凡侵犯本公司版权等知识产权的，本公司必依法追究其法律责任。</w:t>
      </w:r>
    </w:p>
    <w:p>
      <w:pPr>
        <w:widowControl/>
        <w:spacing w:line="360" w:lineRule="auto"/>
        <w:ind w:firstLine="440" w:firstLineChars="200"/>
        <w:jc w:val="left"/>
        <w:rPr>
          <w:rFonts w:ascii="宋体" w:hAnsi="宋体" w:cs="Arial"/>
          <w:kern w:val="0"/>
          <w:sz w:val="22"/>
          <w:szCs w:val="22"/>
          <w:lang w:bidi="en-US"/>
        </w:rPr>
      </w:pPr>
      <w:r>
        <w:rPr>
          <w:rFonts w:ascii="宋体" w:hAnsi="宋体" w:cs="Arial"/>
          <w:kern w:val="0"/>
          <w:sz w:val="22"/>
          <w:szCs w:val="22"/>
          <w:lang w:bidi="en-US"/>
        </w:rPr>
        <w:t>我们定期检查本</w:t>
      </w:r>
      <w:r>
        <w:rPr>
          <w:rFonts w:hint="eastAsia" w:ascii="宋体" w:hAnsi="宋体" w:cs="Arial"/>
          <w:kern w:val="0"/>
          <w:sz w:val="22"/>
          <w:szCs w:val="22"/>
          <w:lang w:bidi="en-US"/>
        </w:rPr>
        <w:t>说明书</w:t>
      </w:r>
      <w:r>
        <w:rPr>
          <w:rFonts w:ascii="宋体" w:hAnsi="宋体" w:cs="Arial"/>
          <w:kern w:val="0"/>
          <w:sz w:val="22"/>
          <w:szCs w:val="22"/>
          <w:lang w:bidi="en-US"/>
        </w:rPr>
        <w:t>中的内容，在后续版本中会有必要的修正。但不可避免会有一些错误之处，欢迎提出改进的意见。</w:t>
      </w:r>
    </w:p>
    <w:p>
      <w:pPr>
        <w:widowControl/>
        <w:spacing w:line="360" w:lineRule="auto"/>
        <w:ind w:firstLine="440" w:firstLineChars="200"/>
        <w:jc w:val="left"/>
        <w:rPr>
          <w:rFonts w:ascii="宋体" w:hAnsi="宋体" w:cs="Arial"/>
          <w:kern w:val="0"/>
          <w:sz w:val="22"/>
          <w:szCs w:val="22"/>
          <w:lang w:bidi="en-US"/>
        </w:rPr>
      </w:pPr>
      <w:r>
        <w:rPr>
          <w:rFonts w:ascii="宋体" w:hAnsi="宋体" w:cs="Arial"/>
          <w:kern w:val="0"/>
          <w:sz w:val="22"/>
          <w:szCs w:val="22"/>
          <w:lang w:bidi="en-US"/>
        </w:rPr>
        <w:t>我们保留在不事先通知的情况下进行技术改进的权利。</w:t>
      </w:r>
    </w:p>
    <w:p>
      <w:pPr>
        <w:spacing w:before="163" w:after="163"/>
        <w:ind w:firstLine="440"/>
        <w:rPr>
          <w:kern w:val="0"/>
          <w:sz w:val="22"/>
          <w:szCs w:val="22"/>
          <w:lang w:bidi="en-US"/>
        </w:rPr>
      </w:pPr>
    </w:p>
    <w:p>
      <w:pPr>
        <w:spacing w:before="163" w:after="163"/>
        <w:ind w:firstLine="440"/>
        <w:rPr>
          <w:kern w:val="0"/>
          <w:sz w:val="22"/>
          <w:szCs w:val="22"/>
          <w:lang w:bidi="en-US"/>
        </w:rPr>
      </w:pPr>
    </w:p>
    <w:p>
      <w:pPr>
        <w:spacing w:before="163" w:after="163"/>
        <w:ind w:firstLine="440"/>
        <w:rPr>
          <w:kern w:val="0"/>
          <w:sz w:val="22"/>
          <w:szCs w:val="22"/>
          <w:lang w:bidi="en-US"/>
        </w:rPr>
      </w:pPr>
    </w:p>
    <w:p>
      <w:pPr>
        <w:spacing w:before="163" w:after="163"/>
        <w:ind w:firstLine="480"/>
        <w:rPr>
          <w:kern w:val="0"/>
          <w:szCs w:val="22"/>
          <w:lang w:bidi="en-US"/>
        </w:rPr>
      </w:pPr>
    </w:p>
    <w:p>
      <w:pPr>
        <w:spacing w:before="163" w:after="163"/>
        <w:ind w:firstLine="480"/>
        <w:rPr>
          <w:kern w:val="0"/>
          <w:szCs w:val="22"/>
          <w:lang w:bidi="en-US"/>
        </w:rPr>
      </w:pPr>
    </w:p>
    <w:p>
      <w:pPr>
        <w:spacing w:before="163" w:after="163"/>
        <w:ind w:firstLine="480"/>
        <w:rPr>
          <w:kern w:val="0"/>
          <w:szCs w:val="22"/>
          <w:lang w:bidi="en-US"/>
        </w:rPr>
      </w:pPr>
    </w:p>
    <w:p>
      <w:pPr>
        <w:spacing w:before="163" w:after="163"/>
        <w:ind w:firstLine="480"/>
        <w:rPr>
          <w:kern w:val="0"/>
          <w:szCs w:val="22"/>
          <w:lang w:bidi="en-US"/>
        </w:rPr>
      </w:pPr>
    </w:p>
    <w:p>
      <w:pPr>
        <w:spacing w:before="163" w:after="163"/>
        <w:ind w:firstLine="480"/>
        <w:rPr>
          <w:kern w:val="0"/>
          <w:szCs w:val="22"/>
          <w:lang w:bidi="en-US"/>
        </w:rPr>
      </w:pPr>
    </w:p>
    <w:p>
      <w:pPr>
        <w:spacing w:before="163" w:after="163"/>
        <w:ind w:firstLine="480"/>
        <w:rPr>
          <w:kern w:val="0"/>
          <w:szCs w:val="22"/>
          <w:lang w:bidi="en-US"/>
        </w:rPr>
      </w:pPr>
    </w:p>
    <w:p>
      <w:pPr>
        <w:widowControl/>
        <w:pBdr>
          <w:bottom w:val="single" w:color="4F81BD" w:sz="8" w:space="4"/>
        </w:pBdr>
        <w:spacing w:after="300"/>
        <w:ind w:left="0" w:leftChars="0" w:firstLine="0" w:firstLineChars="0"/>
        <w:contextualSpacing/>
        <w:jc w:val="left"/>
        <w:rPr>
          <w:rFonts w:hint="eastAsia" w:ascii="Cambria" w:hAnsi="Cambria"/>
          <w:spacing w:val="5"/>
          <w:kern w:val="28"/>
          <w:sz w:val="32"/>
          <w:szCs w:val="32"/>
          <w:lang w:bidi="en-US"/>
        </w:rPr>
      </w:pPr>
      <w:r>
        <w:rPr>
          <w:rFonts w:hint="eastAsia" w:ascii="Cambria" w:hAnsi="Cambria"/>
          <w:spacing w:val="5"/>
          <w:kern w:val="28"/>
          <w:sz w:val="32"/>
          <w:szCs w:val="32"/>
          <w:lang w:bidi="en-US"/>
        </w:rPr>
        <w:t>服务联系方式</w:t>
      </w:r>
    </w:p>
    <w:p>
      <w:pPr>
        <w:spacing w:before="163" w:after="163"/>
        <w:ind w:firstLine="440"/>
        <w:rPr>
          <w:kern w:val="0"/>
          <w:sz w:val="22"/>
          <w:szCs w:val="22"/>
          <w:lang w:bidi="en-US"/>
        </w:rPr>
      </w:pPr>
      <w:r>
        <w:rPr>
          <w:kern w:val="0"/>
          <w:sz w:val="22"/>
          <w:szCs w:val="22"/>
          <w:lang w:bidi="en-US"/>
        </w:rPr>
        <w:t>技术支持</w:t>
      </w:r>
    </w:p>
    <w:p>
      <w:pPr>
        <w:spacing w:before="163" w:after="163"/>
        <w:ind w:firstLine="440"/>
        <w:rPr>
          <w:kern w:val="0"/>
          <w:sz w:val="22"/>
          <w:szCs w:val="22"/>
          <w:lang w:bidi="en-US"/>
        </w:rPr>
      </w:pPr>
      <w:r>
        <w:rPr>
          <w:kern w:val="0"/>
          <w:sz w:val="22"/>
          <w:szCs w:val="22"/>
          <w:lang w:bidi="en-US"/>
        </w:rPr>
        <w:t>业务联系</w:t>
      </w:r>
    </w:p>
    <w:p>
      <w:pPr>
        <w:spacing w:before="163" w:after="163"/>
        <w:ind w:firstLine="440"/>
        <w:rPr>
          <w:rFonts w:hint="eastAsia"/>
          <w:kern w:val="0"/>
          <w:sz w:val="22"/>
          <w:szCs w:val="22"/>
          <w:lang w:bidi="en-US"/>
        </w:rPr>
      </w:pPr>
      <w:r>
        <w:rPr>
          <w:kern w:val="0"/>
          <w:sz w:val="22"/>
          <w:szCs w:val="22"/>
          <w:lang w:bidi="en-US"/>
        </w:rPr>
        <w:t>电话:</w:t>
      </w:r>
      <w:r>
        <w:rPr>
          <w:rFonts w:hint="eastAsia"/>
          <w:kern w:val="0"/>
          <w:sz w:val="22"/>
          <w:szCs w:val="22"/>
          <w:lang w:bidi="en-US"/>
        </w:rPr>
        <w:t>0535-5520</w:t>
      </w:r>
      <w:r>
        <w:rPr>
          <w:rFonts w:hint="eastAsia"/>
          <w:kern w:val="0"/>
          <w:sz w:val="22"/>
          <w:szCs w:val="22"/>
          <w:lang w:val="en-US" w:eastAsia="zh-CN" w:bidi="en-US"/>
        </w:rPr>
        <w:t>728</w:t>
      </w:r>
      <w:r>
        <w:rPr>
          <w:kern w:val="0"/>
          <w:sz w:val="22"/>
          <w:szCs w:val="22"/>
          <w:lang w:bidi="en-US"/>
        </w:rPr>
        <w:t xml:space="preserve"> </w:t>
      </w:r>
    </w:p>
    <w:p>
      <w:pPr>
        <w:spacing w:before="163" w:after="163"/>
        <w:ind w:firstLine="440"/>
        <w:rPr>
          <w:kern w:val="0"/>
          <w:sz w:val="22"/>
          <w:szCs w:val="22"/>
          <w:lang w:bidi="en-US"/>
        </w:rPr>
      </w:pPr>
      <w:r>
        <w:rPr>
          <w:rFonts w:hAnsi="Arial"/>
          <w:kern w:val="0"/>
          <w:sz w:val="22"/>
          <w:szCs w:val="22"/>
          <w:lang w:bidi="en-US"/>
        </w:rPr>
        <w:t>网址</w:t>
      </w:r>
      <w:r>
        <w:rPr>
          <w:kern w:val="0"/>
          <w:sz w:val="22"/>
          <w:szCs w:val="22"/>
          <w:lang w:bidi="en-US"/>
        </w:rPr>
        <w:t>: http://www.</w:t>
      </w:r>
      <w:r>
        <w:rPr>
          <w:rFonts w:hint="eastAsia"/>
          <w:kern w:val="0"/>
          <w:sz w:val="22"/>
          <w:szCs w:val="22"/>
          <w:lang w:bidi="en-US"/>
        </w:rPr>
        <w:t>do</w:t>
      </w:r>
      <w:r>
        <w:rPr>
          <w:kern w:val="0"/>
          <w:sz w:val="22"/>
          <w:szCs w:val="22"/>
          <w:lang w:bidi="en-US"/>
        </w:rPr>
        <w:t>ngfang-china.com</w:t>
      </w:r>
    </w:p>
    <w:p>
      <w:pPr>
        <w:pStyle w:val="14"/>
        <w:widowControl/>
        <w:pBdr>
          <w:bottom w:val="single" w:color="4F81BD" w:sz="8" w:space="4"/>
        </w:pBdr>
        <w:adjustRightInd/>
        <w:spacing w:before="0" w:beforeLines="0" w:after="1630" w:afterLines="500" w:line="240" w:lineRule="auto"/>
        <w:ind w:firstLine="0" w:firstLineChars="0"/>
        <w:jc w:val="left"/>
        <w:outlineLvl w:val="9"/>
        <w:rPr>
          <w:rFonts w:ascii="Times New Roman" w:hAnsi="Times New Roman" w:cs="Times New Roman"/>
          <w:b w:val="0"/>
          <w:bCs w:val="0"/>
          <w:spacing w:val="5"/>
          <w:kern w:val="28"/>
          <w:sz w:val="21"/>
          <w:szCs w:val="21"/>
          <w:lang w:bidi="en-US"/>
        </w:rPr>
      </w:pPr>
    </w:p>
    <w:p>
      <w:pPr>
        <w:spacing w:before="163" w:after="163"/>
        <w:ind w:firstLine="0" w:firstLineChars="0"/>
        <w:rPr>
          <w:b/>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upperRoman" w:start="1"/>
          <w:cols w:space="720" w:num="1"/>
          <w:docGrid w:type="lines" w:linePitch="326" w:charSpace="0"/>
        </w:sectPr>
      </w:pPr>
    </w:p>
    <w:p>
      <w:pPr>
        <w:pStyle w:val="2"/>
        <w:rPr>
          <w:lang w:val="en-US" w:eastAsia="zh-CN"/>
        </w:rPr>
      </w:pPr>
    </w:p>
    <w:p>
      <w:pPr>
        <w:tabs>
          <w:tab w:val="left" w:pos="4706"/>
        </w:tabs>
        <w:bidi w:val="0"/>
        <w:jc w:val="left"/>
        <w:rPr>
          <w:rFonts w:hint="eastAsia"/>
          <w:lang w:val="en-US" w:eastAsia="zh-CN"/>
        </w:rPr>
      </w:pPr>
      <w:r>
        <w:rPr>
          <w:rFonts w:hint="eastAsia"/>
          <w:lang w:val="en-US" w:eastAsia="zh-CN"/>
        </w:rPr>
        <w:tab/>
      </w:r>
    </w:p>
    <w:p>
      <w:pPr>
        <w:pStyle w:val="9"/>
        <w:jc w:val="center"/>
        <w:rPr>
          <w:rFonts w:hint="eastAsia" w:ascii="楷体" w:hAnsi="楷体" w:eastAsia="楷体"/>
          <w:b/>
          <w:sz w:val="52"/>
          <w:szCs w:val="52"/>
          <w:lang w:val="en-US" w:eastAsia="zh-CN"/>
        </w:rPr>
      </w:pPr>
      <w:r>
        <w:rPr>
          <w:rFonts w:hint="eastAsia" w:ascii="楷体" w:hAnsi="楷体" w:eastAsia="楷体"/>
          <w:b/>
          <w:sz w:val="52"/>
          <w:szCs w:val="52"/>
          <w:lang w:val="en-US" w:eastAsia="zh-CN"/>
        </w:rPr>
        <w:t>2022年5月</w:t>
      </w:r>
    </w:p>
    <w:p>
      <w:pPr>
        <w:pStyle w:val="9"/>
        <w:jc w:val="both"/>
        <w:rPr>
          <w:rFonts w:hint="eastAsia" w:ascii="楷体" w:hAnsi="楷体" w:eastAsia="楷体"/>
          <w:b/>
          <w:sz w:val="52"/>
          <w:szCs w:val="52"/>
          <w:lang w:val="en-US" w:eastAsia="zh-CN"/>
        </w:rPr>
      </w:pPr>
    </w:p>
    <w:sdt>
      <w:sdtPr>
        <w:rPr>
          <w:rFonts w:ascii="宋体" w:hAnsi="宋体" w:eastAsia="宋体" w:cs="Times New Roman"/>
          <w:kern w:val="2"/>
          <w:sz w:val="21"/>
          <w:szCs w:val="24"/>
          <w:lang w:val="en-US" w:eastAsia="zh-CN" w:bidi="ar-SA"/>
        </w:rPr>
        <w:id w:val="147471228"/>
        <w15:color w:val="DBDBDB"/>
        <w:docPartObj>
          <w:docPartGallery w:val="Table of Contents"/>
          <w:docPartUnique/>
        </w:docPartObj>
      </w:sdtPr>
      <w:sdtEndPr>
        <w:rPr>
          <w:rFonts w:hint="eastAsia" w:ascii="楷体" w:hAnsi="楷体" w:eastAsia="楷体" w:cs="Times New Roman"/>
          <w:kern w:val="2"/>
          <w:sz w:val="24"/>
          <w:szCs w:val="52"/>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2"/>
            <w:tabs>
              <w:tab w:val="right" w:leader="dot" w:pos="8306"/>
            </w:tabs>
          </w:pPr>
          <w:r>
            <w:rPr>
              <w:rFonts w:hint="eastAsia" w:ascii="楷体" w:hAnsi="楷体" w:eastAsia="楷体"/>
              <w:b/>
              <w:sz w:val="52"/>
              <w:szCs w:val="52"/>
              <w:lang w:val="en-US" w:eastAsia="zh-CN"/>
            </w:rPr>
            <w:fldChar w:fldCharType="begin"/>
          </w:r>
          <w:r>
            <w:rPr>
              <w:rFonts w:hint="eastAsia" w:ascii="楷体" w:hAnsi="楷体" w:eastAsia="楷体"/>
              <w:b/>
              <w:sz w:val="52"/>
              <w:szCs w:val="52"/>
              <w:lang w:val="en-US" w:eastAsia="zh-CN"/>
            </w:rPr>
            <w:instrText xml:space="preserve">TOC \o "1-3" \h \u </w:instrText>
          </w:r>
          <w:r>
            <w:rPr>
              <w:rFonts w:hint="eastAsia" w:ascii="楷体" w:hAnsi="楷体" w:eastAsia="楷体"/>
              <w:b/>
              <w:sz w:val="52"/>
              <w:szCs w:val="52"/>
              <w:lang w:val="en-US" w:eastAsia="zh-CN"/>
            </w:rPr>
            <w:fldChar w:fldCharType="separate"/>
          </w:r>
          <w:r>
            <w:rPr>
              <w:rFonts w:hint="eastAsia" w:ascii="楷体" w:hAnsi="楷体" w:eastAsia="楷体"/>
              <w:szCs w:val="52"/>
              <w:lang w:val="en-US" w:eastAsia="zh-CN"/>
            </w:rPr>
            <w:fldChar w:fldCharType="begin"/>
          </w:r>
          <w:r>
            <w:rPr>
              <w:rFonts w:hint="eastAsia" w:ascii="楷体" w:hAnsi="楷体" w:eastAsia="楷体"/>
              <w:szCs w:val="52"/>
              <w:lang w:val="en-US" w:eastAsia="zh-CN"/>
            </w:rPr>
            <w:instrText xml:space="preserve"> HYPERLINK \l _Toc9269 </w:instrText>
          </w:r>
          <w:r>
            <w:rPr>
              <w:rFonts w:hint="eastAsia" w:ascii="楷体" w:hAnsi="楷体" w:eastAsia="楷体"/>
              <w:szCs w:val="52"/>
              <w:lang w:val="en-US" w:eastAsia="zh-CN"/>
            </w:rPr>
            <w:fldChar w:fldCharType="separate"/>
          </w:r>
          <w:r>
            <w:tab/>
          </w:r>
          <w:r>
            <w:fldChar w:fldCharType="begin"/>
          </w:r>
          <w:r>
            <w:instrText xml:space="preserve"> PAGEREF _Toc9269 \h </w:instrText>
          </w:r>
          <w:r>
            <w:fldChar w:fldCharType="separate"/>
          </w:r>
          <w:r>
            <w:t>I</w:t>
          </w:r>
          <w:r>
            <w:fldChar w:fldCharType="end"/>
          </w:r>
          <w:r>
            <w:rPr>
              <w:rFonts w:hint="eastAsia" w:ascii="楷体" w:hAnsi="楷体" w:eastAsia="楷体"/>
              <w:szCs w:val="52"/>
              <w:lang w:val="en-US" w:eastAsia="zh-CN"/>
            </w:rPr>
            <w:fldChar w:fldCharType="end"/>
          </w:r>
        </w:p>
        <w:p>
          <w:pPr>
            <w:pStyle w:val="12"/>
            <w:tabs>
              <w:tab w:val="right" w:leader="dot" w:pos="8306"/>
            </w:tabs>
          </w:pPr>
          <w:r>
            <w:rPr>
              <w:rFonts w:hint="eastAsia" w:ascii="楷体" w:hAnsi="楷体" w:eastAsia="楷体"/>
              <w:szCs w:val="52"/>
              <w:lang w:val="en-US" w:eastAsia="zh-CN"/>
            </w:rPr>
            <w:fldChar w:fldCharType="begin"/>
          </w:r>
          <w:r>
            <w:rPr>
              <w:rFonts w:hint="eastAsia" w:ascii="楷体" w:hAnsi="楷体" w:eastAsia="楷体"/>
              <w:szCs w:val="52"/>
              <w:lang w:val="en-US" w:eastAsia="zh-CN"/>
            </w:rPr>
            <w:instrText xml:space="preserve"> HYPERLINK \l _Toc21732 </w:instrText>
          </w:r>
          <w:r>
            <w:rPr>
              <w:rFonts w:hint="eastAsia" w:ascii="楷体" w:hAnsi="楷体" w:eastAsia="楷体"/>
              <w:szCs w:val="52"/>
              <w:lang w:val="en-US" w:eastAsia="zh-CN"/>
            </w:rPr>
            <w:fldChar w:fldCharType="separate"/>
          </w:r>
          <w:r>
            <w:rPr>
              <w:rFonts w:hint="eastAsia" w:ascii="楷体" w:hAnsi="楷体" w:eastAsia="楷体" w:cs="宋体"/>
              <w:bCs/>
              <w:szCs w:val="60"/>
            </w:rPr>
            <w:t>变压器油色谱在线监测系统</w:t>
          </w:r>
          <w:r>
            <w:tab/>
          </w:r>
          <w:r>
            <w:fldChar w:fldCharType="begin"/>
          </w:r>
          <w:r>
            <w:instrText xml:space="preserve"> PAGEREF _Toc21732 \h </w:instrText>
          </w:r>
          <w:r>
            <w:fldChar w:fldCharType="separate"/>
          </w:r>
          <w:r>
            <w:t>I</w:t>
          </w:r>
          <w:r>
            <w:fldChar w:fldCharType="end"/>
          </w:r>
          <w:r>
            <w:rPr>
              <w:rFonts w:hint="eastAsia" w:ascii="楷体" w:hAnsi="楷体" w:eastAsia="楷体"/>
              <w:szCs w:val="52"/>
              <w:lang w:val="en-US" w:eastAsia="zh-CN"/>
            </w:rPr>
            <w:fldChar w:fldCharType="end"/>
          </w:r>
        </w:p>
        <w:p>
          <w:pPr>
            <w:pStyle w:val="12"/>
            <w:tabs>
              <w:tab w:val="right" w:leader="dot" w:pos="8306"/>
            </w:tabs>
          </w:pPr>
          <w:r>
            <w:rPr>
              <w:rFonts w:hint="eastAsia" w:ascii="楷体" w:hAnsi="楷体" w:eastAsia="楷体"/>
              <w:szCs w:val="52"/>
              <w:lang w:val="en-US" w:eastAsia="zh-CN"/>
            </w:rPr>
            <w:fldChar w:fldCharType="begin"/>
          </w:r>
          <w:r>
            <w:rPr>
              <w:rFonts w:hint="eastAsia" w:ascii="楷体" w:hAnsi="楷体" w:eastAsia="楷体"/>
              <w:szCs w:val="52"/>
              <w:lang w:val="en-US" w:eastAsia="zh-CN"/>
            </w:rPr>
            <w:instrText xml:space="preserve"> HYPERLINK \l _Toc14798 </w:instrText>
          </w:r>
          <w:r>
            <w:rPr>
              <w:rFonts w:hint="eastAsia" w:ascii="楷体" w:hAnsi="楷体" w:eastAsia="楷体"/>
              <w:szCs w:val="52"/>
              <w:lang w:val="en-US" w:eastAsia="zh-CN"/>
            </w:rPr>
            <w:fldChar w:fldCharType="separate"/>
          </w:r>
          <w:r>
            <w:rPr>
              <w:rFonts w:hint="eastAsia" w:ascii="楷体" w:hAnsi="楷体" w:eastAsia="楷体"/>
              <w:szCs w:val="60"/>
            </w:rPr>
            <w:t>使用</w:t>
          </w:r>
          <w:r>
            <w:rPr>
              <w:rFonts w:ascii="楷体" w:hAnsi="楷体" w:eastAsia="楷体"/>
              <w:szCs w:val="60"/>
            </w:rPr>
            <w:t>说明书</w:t>
          </w:r>
          <w:r>
            <w:tab/>
          </w:r>
          <w:r>
            <w:fldChar w:fldCharType="begin"/>
          </w:r>
          <w:r>
            <w:instrText xml:space="preserve"> PAGEREF _Toc14798 \h </w:instrText>
          </w:r>
          <w:r>
            <w:fldChar w:fldCharType="separate"/>
          </w:r>
          <w:r>
            <w:t>I</w:t>
          </w:r>
          <w:r>
            <w:fldChar w:fldCharType="end"/>
          </w:r>
          <w:r>
            <w:rPr>
              <w:rFonts w:hint="eastAsia" w:ascii="楷体" w:hAnsi="楷体" w:eastAsia="楷体"/>
              <w:szCs w:val="52"/>
              <w:lang w:val="en-US" w:eastAsia="zh-CN"/>
            </w:rPr>
            <w:fldChar w:fldCharType="end"/>
          </w:r>
        </w:p>
        <w:p>
          <w:pPr>
            <w:pStyle w:val="12"/>
            <w:tabs>
              <w:tab w:val="right" w:leader="dot" w:pos="8306"/>
            </w:tabs>
          </w:pPr>
          <w:r>
            <w:rPr>
              <w:rFonts w:hint="eastAsia" w:ascii="楷体" w:hAnsi="楷体" w:eastAsia="楷体"/>
              <w:szCs w:val="52"/>
              <w:lang w:val="en-US" w:eastAsia="zh-CN"/>
            </w:rPr>
            <w:fldChar w:fldCharType="begin"/>
          </w:r>
          <w:r>
            <w:rPr>
              <w:rFonts w:hint="eastAsia" w:ascii="楷体" w:hAnsi="楷体" w:eastAsia="楷体"/>
              <w:szCs w:val="52"/>
              <w:lang w:val="en-US" w:eastAsia="zh-CN"/>
            </w:rPr>
            <w:instrText xml:space="preserve"> HYPERLINK \l _Toc6235 </w:instrText>
          </w:r>
          <w:r>
            <w:rPr>
              <w:rFonts w:hint="eastAsia" w:ascii="楷体" w:hAnsi="楷体" w:eastAsia="楷体"/>
              <w:szCs w:val="52"/>
              <w:lang w:val="en-US" w:eastAsia="zh-CN"/>
            </w:rPr>
            <w:fldChar w:fldCharType="separate"/>
          </w:r>
          <w:r>
            <w:rPr>
              <w:rFonts w:hint="eastAsia"/>
            </w:rPr>
            <w:t>1. 概述</w:t>
          </w:r>
          <w:r>
            <w:tab/>
          </w:r>
          <w:r>
            <w:fldChar w:fldCharType="begin"/>
          </w:r>
          <w:r>
            <w:instrText xml:space="preserve"> PAGEREF _Toc6235 \h </w:instrText>
          </w:r>
          <w:r>
            <w:fldChar w:fldCharType="separate"/>
          </w:r>
          <w:r>
            <w:t>4</w:t>
          </w:r>
          <w:r>
            <w:fldChar w:fldCharType="end"/>
          </w:r>
          <w:r>
            <w:rPr>
              <w:rFonts w:hint="eastAsia" w:ascii="楷体" w:hAnsi="楷体" w:eastAsia="楷体"/>
              <w:szCs w:val="52"/>
              <w:lang w:val="en-US" w:eastAsia="zh-CN"/>
            </w:rPr>
            <w:fldChar w:fldCharType="end"/>
          </w:r>
        </w:p>
        <w:p>
          <w:pPr>
            <w:pStyle w:val="12"/>
            <w:tabs>
              <w:tab w:val="right" w:leader="dot" w:pos="8306"/>
            </w:tabs>
          </w:pPr>
          <w:r>
            <w:rPr>
              <w:rFonts w:hint="eastAsia" w:ascii="楷体" w:hAnsi="楷体" w:eastAsia="楷体"/>
              <w:szCs w:val="52"/>
              <w:lang w:val="en-US" w:eastAsia="zh-CN"/>
            </w:rPr>
            <w:fldChar w:fldCharType="begin"/>
          </w:r>
          <w:r>
            <w:rPr>
              <w:rFonts w:hint="eastAsia" w:ascii="楷体" w:hAnsi="楷体" w:eastAsia="楷体"/>
              <w:szCs w:val="52"/>
              <w:lang w:val="en-US" w:eastAsia="zh-CN"/>
            </w:rPr>
            <w:instrText xml:space="preserve"> HYPERLINK \l _Toc15938 </w:instrText>
          </w:r>
          <w:r>
            <w:rPr>
              <w:rFonts w:hint="eastAsia" w:ascii="楷体" w:hAnsi="楷体" w:eastAsia="楷体"/>
              <w:szCs w:val="52"/>
              <w:lang w:val="en-US" w:eastAsia="zh-CN"/>
            </w:rPr>
            <w:fldChar w:fldCharType="separate"/>
          </w:r>
          <w:r>
            <w:t xml:space="preserve">2. </w:t>
          </w:r>
          <w:r>
            <w:rPr>
              <w:rFonts w:hint="eastAsia"/>
              <w:lang w:val="en-US" w:eastAsia="zh-CN"/>
            </w:rPr>
            <w:t>系统组成</w:t>
          </w:r>
          <w:r>
            <w:rPr>
              <w:rFonts w:hint="eastAsia"/>
            </w:rPr>
            <w:t>及</w:t>
          </w:r>
          <w:r>
            <w:rPr>
              <w:rFonts w:hint="eastAsia"/>
              <w:lang w:val="en-US" w:eastAsia="zh-CN"/>
            </w:rPr>
            <w:t>功能</w:t>
          </w:r>
          <w:r>
            <w:rPr>
              <w:rFonts w:hint="eastAsia"/>
            </w:rPr>
            <w:t>原理</w:t>
          </w:r>
          <w:r>
            <w:tab/>
          </w:r>
          <w:r>
            <w:fldChar w:fldCharType="begin"/>
          </w:r>
          <w:r>
            <w:instrText xml:space="preserve"> PAGEREF _Toc15938 \h </w:instrText>
          </w:r>
          <w:r>
            <w:fldChar w:fldCharType="separate"/>
          </w:r>
          <w:r>
            <w:t>4</w:t>
          </w:r>
          <w:r>
            <w:fldChar w:fldCharType="end"/>
          </w:r>
          <w:r>
            <w:rPr>
              <w:rFonts w:hint="eastAsia" w:ascii="楷体" w:hAnsi="楷体" w:eastAsia="楷体"/>
              <w:szCs w:val="52"/>
              <w:lang w:val="en-US" w:eastAsia="zh-CN"/>
            </w:rPr>
            <w:fldChar w:fldCharType="end"/>
          </w:r>
        </w:p>
        <w:p>
          <w:pPr>
            <w:pStyle w:val="13"/>
            <w:tabs>
              <w:tab w:val="right" w:leader="dot" w:pos="8306"/>
            </w:tabs>
          </w:pPr>
          <w:r>
            <w:rPr>
              <w:rFonts w:hint="eastAsia" w:ascii="楷体" w:hAnsi="楷体" w:eastAsia="楷体"/>
              <w:szCs w:val="52"/>
              <w:lang w:val="en-US" w:eastAsia="zh-CN"/>
            </w:rPr>
            <w:fldChar w:fldCharType="begin"/>
          </w:r>
          <w:r>
            <w:rPr>
              <w:rFonts w:hint="eastAsia" w:ascii="楷体" w:hAnsi="楷体" w:eastAsia="楷体"/>
              <w:szCs w:val="52"/>
              <w:lang w:val="en-US" w:eastAsia="zh-CN"/>
            </w:rPr>
            <w:instrText xml:space="preserve"> HYPERLINK \l _Toc2966 </w:instrText>
          </w:r>
          <w:r>
            <w:rPr>
              <w:rFonts w:hint="eastAsia" w:ascii="楷体" w:hAnsi="楷体" w:eastAsia="楷体"/>
              <w:szCs w:val="52"/>
              <w:lang w:val="en-US" w:eastAsia="zh-CN"/>
            </w:rPr>
            <w:fldChar w:fldCharType="separate"/>
          </w:r>
          <w:r>
            <w:rPr>
              <w:rFonts w:hint="eastAsia"/>
              <w:lang w:val="en-US" w:eastAsia="zh-CN"/>
            </w:rPr>
            <w:t>2.1系统组成</w:t>
          </w:r>
          <w:r>
            <w:tab/>
          </w:r>
          <w:r>
            <w:fldChar w:fldCharType="begin"/>
          </w:r>
          <w:r>
            <w:instrText xml:space="preserve"> PAGEREF _Toc2966 \h </w:instrText>
          </w:r>
          <w:r>
            <w:fldChar w:fldCharType="separate"/>
          </w:r>
          <w:r>
            <w:t>4</w:t>
          </w:r>
          <w:r>
            <w:fldChar w:fldCharType="end"/>
          </w:r>
          <w:r>
            <w:rPr>
              <w:rFonts w:hint="eastAsia" w:ascii="楷体" w:hAnsi="楷体" w:eastAsia="楷体"/>
              <w:szCs w:val="52"/>
              <w:lang w:val="en-US" w:eastAsia="zh-CN"/>
            </w:rPr>
            <w:fldChar w:fldCharType="end"/>
          </w:r>
        </w:p>
        <w:p>
          <w:pPr>
            <w:pStyle w:val="13"/>
            <w:tabs>
              <w:tab w:val="right" w:leader="dot" w:pos="8306"/>
            </w:tabs>
          </w:pPr>
          <w:r>
            <w:rPr>
              <w:rFonts w:hint="eastAsia" w:ascii="楷体" w:hAnsi="楷体" w:eastAsia="楷体"/>
              <w:szCs w:val="52"/>
              <w:lang w:val="en-US" w:eastAsia="zh-CN"/>
            </w:rPr>
            <w:fldChar w:fldCharType="begin"/>
          </w:r>
          <w:r>
            <w:rPr>
              <w:rFonts w:hint="eastAsia" w:ascii="楷体" w:hAnsi="楷体" w:eastAsia="楷体"/>
              <w:szCs w:val="52"/>
              <w:lang w:val="en-US" w:eastAsia="zh-CN"/>
            </w:rPr>
            <w:instrText xml:space="preserve"> HYPERLINK \l _Toc7024 </w:instrText>
          </w:r>
          <w:r>
            <w:rPr>
              <w:rFonts w:hint="eastAsia" w:ascii="楷体" w:hAnsi="楷体" w:eastAsia="楷体"/>
              <w:szCs w:val="52"/>
              <w:lang w:val="en-US" w:eastAsia="zh-CN"/>
            </w:rPr>
            <w:fldChar w:fldCharType="separate"/>
          </w:r>
          <w:r>
            <w:rPr>
              <w:rFonts w:hint="eastAsia"/>
              <w:lang w:val="en-US" w:eastAsia="zh-CN"/>
            </w:rPr>
            <w:t>2.2功能原理</w:t>
          </w:r>
          <w:r>
            <w:tab/>
          </w:r>
          <w:r>
            <w:fldChar w:fldCharType="begin"/>
          </w:r>
          <w:r>
            <w:instrText xml:space="preserve"> PAGEREF _Toc7024 \h </w:instrText>
          </w:r>
          <w:r>
            <w:fldChar w:fldCharType="separate"/>
          </w:r>
          <w:r>
            <w:t>5</w:t>
          </w:r>
          <w:r>
            <w:fldChar w:fldCharType="end"/>
          </w:r>
          <w:r>
            <w:rPr>
              <w:rFonts w:hint="eastAsia" w:ascii="楷体" w:hAnsi="楷体" w:eastAsia="楷体"/>
              <w:szCs w:val="52"/>
              <w:lang w:val="en-US" w:eastAsia="zh-CN"/>
            </w:rPr>
            <w:fldChar w:fldCharType="end"/>
          </w:r>
        </w:p>
        <w:p>
          <w:pPr>
            <w:pStyle w:val="13"/>
            <w:tabs>
              <w:tab w:val="right" w:leader="dot" w:pos="8306"/>
            </w:tabs>
          </w:pPr>
          <w:r>
            <w:rPr>
              <w:rFonts w:hint="eastAsia" w:ascii="楷体" w:hAnsi="楷体" w:eastAsia="楷体"/>
              <w:szCs w:val="52"/>
              <w:lang w:val="en-US" w:eastAsia="zh-CN"/>
            </w:rPr>
            <w:fldChar w:fldCharType="begin"/>
          </w:r>
          <w:r>
            <w:rPr>
              <w:rFonts w:hint="eastAsia" w:ascii="楷体" w:hAnsi="楷体" w:eastAsia="楷体"/>
              <w:szCs w:val="52"/>
              <w:lang w:val="en-US" w:eastAsia="zh-CN"/>
            </w:rPr>
            <w:instrText xml:space="preserve"> HYPERLINK \l _Toc9614 </w:instrText>
          </w:r>
          <w:r>
            <w:rPr>
              <w:rFonts w:hint="eastAsia" w:ascii="楷体" w:hAnsi="楷体" w:eastAsia="楷体"/>
              <w:szCs w:val="52"/>
              <w:lang w:val="en-US" w:eastAsia="zh-CN"/>
            </w:rPr>
            <w:fldChar w:fldCharType="separate"/>
          </w:r>
          <w:r>
            <w:rPr>
              <w:rFonts w:hint="eastAsia"/>
              <w:lang w:val="en-US" w:eastAsia="zh-CN"/>
            </w:rPr>
            <w:t>2.3 配置原则</w:t>
          </w:r>
          <w:r>
            <w:tab/>
          </w:r>
          <w:r>
            <w:fldChar w:fldCharType="begin"/>
          </w:r>
          <w:r>
            <w:instrText xml:space="preserve"> PAGEREF _Toc9614 \h </w:instrText>
          </w:r>
          <w:r>
            <w:fldChar w:fldCharType="separate"/>
          </w:r>
          <w:r>
            <w:t>5</w:t>
          </w:r>
          <w:r>
            <w:fldChar w:fldCharType="end"/>
          </w:r>
          <w:r>
            <w:rPr>
              <w:rFonts w:hint="eastAsia" w:ascii="楷体" w:hAnsi="楷体" w:eastAsia="楷体"/>
              <w:szCs w:val="52"/>
              <w:lang w:val="en-US" w:eastAsia="zh-CN"/>
            </w:rPr>
            <w:fldChar w:fldCharType="end"/>
          </w:r>
        </w:p>
        <w:p>
          <w:pPr>
            <w:pStyle w:val="12"/>
            <w:tabs>
              <w:tab w:val="right" w:leader="dot" w:pos="8306"/>
            </w:tabs>
          </w:pPr>
          <w:r>
            <w:rPr>
              <w:rFonts w:hint="eastAsia" w:ascii="楷体" w:hAnsi="楷体" w:eastAsia="楷体"/>
              <w:szCs w:val="52"/>
              <w:lang w:val="en-US" w:eastAsia="zh-CN"/>
            </w:rPr>
            <w:fldChar w:fldCharType="begin"/>
          </w:r>
          <w:r>
            <w:rPr>
              <w:rFonts w:hint="eastAsia" w:ascii="楷体" w:hAnsi="楷体" w:eastAsia="楷体"/>
              <w:szCs w:val="52"/>
              <w:lang w:val="en-US" w:eastAsia="zh-CN"/>
            </w:rPr>
            <w:instrText xml:space="preserve"> HYPERLINK \l _Toc13985 </w:instrText>
          </w:r>
          <w:r>
            <w:rPr>
              <w:rFonts w:hint="eastAsia" w:ascii="楷体" w:hAnsi="楷体" w:eastAsia="楷体"/>
              <w:szCs w:val="52"/>
              <w:lang w:val="en-US" w:eastAsia="zh-CN"/>
            </w:rPr>
            <w:fldChar w:fldCharType="separate"/>
          </w:r>
          <w:r>
            <w:rPr>
              <w:rFonts w:hint="eastAsia"/>
              <w:lang w:val="en-US" w:eastAsia="zh-CN"/>
            </w:rPr>
            <w:t>3.装置技术参数</w:t>
          </w:r>
          <w:r>
            <w:tab/>
          </w:r>
          <w:r>
            <w:fldChar w:fldCharType="begin"/>
          </w:r>
          <w:r>
            <w:instrText xml:space="preserve"> PAGEREF _Toc13985 \h </w:instrText>
          </w:r>
          <w:r>
            <w:fldChar w:fldCharType="separate"/>
          </w:r>
          <w:r>
            <w:t>6</w:t>
          </w:r>
          <w:r>
            <w:fldChar w:fldCharType="end"/>
          </w:r>
          <w:r>
            <w:rPr>
              <w:rFonts w:hint="eastAsia" w:ascii="楷体" w:hAnsi="楷体" w:eastAsia="楷体"/>
              <w:szCs w:val="52"/>
              <w:lang w:val="en-US" w:eastAsia="zh-CN"/>
            </w:rPr>
            <w:fldChar w:fldCharType="end"/>
          </w:r>
        </w:p>
        <w:p>
          <w:pPr>
            <w:pStyle w:val="13"/>
            <w:tabs>
              <w:tab w:val="right" w:leader="dot" w:pos="8306"/>
            </w:tabs>
          </w:pPr>
          <w:r>
            <w:rPr>
              <w:rFonts w:hint="eastAsia" w:ascii="楷体" w:hAnsi="楷体" w:eastAsia="楷体"/>
              <w:szCs w:val="52"/>
              <w:lang w:val="en-US" w:eastAsia="zh-CN"/>
            </w:rPr>
            <w:fldChar w:fldCharType="begin"/>
          </w:r>
          <w:r>
            <w:rPr>
              <w:rFonts w:hint="eastAsia" w:ascii="楷体" w:hAnsi="楷体" w:eastAsia="楷体"/>
              <w:szCs w:val="52"/>
              <w:lang w:val="en-US" w:eastAsia="zh-CN"/>
            </w:rPr>
            <w:instrText xml:space="preserve"> HYPERLINK \l _Toc8150 </w:instrText>
          </w:r>
          <w:r>
            <w:rPr>
              <w:rFonts w:hint="eastAsia" w:ascii="楷体" w:hAnsi="楷体" w:eastAsia="楷体"/>
              <w:szCs w:val="52"/>
              <w:lang w:val="en-US" w:eastAsia="zh-CN"/>
            </w:rPr>
            <w:fldChar w:fldCharType="separate"/>
          </w:r>
          <w:r>
            <w:rPr>
              <w:rFonts w:hint="eastAsia"/>
            </w:rPr>
            <w:t>3.</w:t>
          </w:r>
          <w:r>
            <w:rPr>
              <w:rFonts w:hint="eastAsia"/>
              <w:lang w:val="en-US" w:eastAsia="zh-CN"/>
            </w:rPr>
            <w:t>1</w:t>
          </w:r>
          <w:r>
            <w:rPr>
              <w:rFonts w:hint="eastAsia"/>
            </w:rPr>
            <w:t xml:space="preserve"> 技术指标</w:t>
          </w:r>
          <w:r>
            <w:tab/>
          </w:r>
          <w:r>
            <w:fldChar w:fldCharType="begin"/>
          </w:r>
          <w:r>
            <w:instrText xml:space="preserve"> PAGEREF _Toc8150 \h </w:instrText>
          </w:r>
          <w:r>
            <w:fldChar w:fldCharType="separate"/>
          </w:r>
          <w:r>
            <w:t>6</w:t>
          </w:r>
          <w:r>
            <w:fldChar w:fldCharType="end"/>
          </w:r>
          <w:r>
            <w:rPr>
              <w:rFonts w:hint="eastAsia" w:ascii="楷体" w:hAnsi="楷体" w:eastAsia="楷体"/>
              <w:szCs w:val="52"/>
              <w:lang w:val="en-US" w:eastAsia="zh-CN"/>
            </w:rPr>
            <w:fldChar w:fldCharType="end"/>
          </w:r>
        </w:p>
        <w:p>
          <w:pPr>
            <w:pStyle w:val="13"/>
            <w:tabs>
              <w:tab w:val="right" w:leader="dot" w:pos="8306"/>
            </w:tabs>
          </w:pPr>
          <w:r>
            <w:rPr>
              <w:rFonts w:hint="eastAsia" w:ascii="楷体" w:hAnsi="楷体" w:eastAsia="楷体"/>
              <w:szCs w:val="52"/>
              <w:lang w:val="en-US" w:eastAsia="zh-CN"/>
            </w:rPr>
            <w:fldChar w:fldCharType="begin"/>
          </w:r>
          <w:r>
            <w:rPr>
              <w:rFonts w:hint="eastAsia" w:ascii="楷体" w:hAnsi="楷体" w:eastAsia="楷体"/>
              <w:szCs w:val="52"/>
              <w:lang w:val="en-US" w:eastAsia="zh-CN"/>
            </w:rPr>
            <w:instrText xml:space="preserve"> HYPERLINK \l _Toc20186 </w:instrText>
          </w:r>
          <w:r>
            <w:rPr>
              <w:rFonts w:hint="eastAsia" w:ascii="楷体" w:hAnsi="楷体" w:eastAsia="楷体"/>
              <w:szCs w:val="52"/>
              <w:lang w:val="en-US" w:eastAsia="zh-CN"/>
            </w:rPr>
            <w:fldChar w:fldCharType="separate"/>
          </w:r>
          <w:r>
            <w:rPr>
              <w:rFonts w:hint="eastAsia"/>
            </w:rPr>
            <w:t>3.</w:t>
          </w:r>
          <w:r>
            <w:rPr>
              <w:rFonts w:hint="eastAsia"/>
              <w:lang w:val="en-US" w:eastAsia="zh-CN"/>
            </w:rPr>
            <w:t>2</w:t>
          </w:r>
          <w:r>
            <w:rPr>
              <w:rFonts w:hint="eastAsia"/>
            </w:rPr>
            <w:t>循技术标准</w:t>
          </w:r>
          <w:r>
            <w:tab/>
          </w:r>
          <w:r>
            <w:fldChar w:fldCharType="begin"/>
          </w:r>
          <w:r>
            <w:instrText xml:space="preserve"> PAGEREF _Toc20186 \h </w:instrText>
          </w:r>
          <w:r>
            <w:fldChar w:fldCharType="separate"/>
          </w:r>
          <w:r>
            <w:t>7</w:t>
          </w:r>
          <w:r>
            <w:fldChar w:fldCharType="end"/>
          </w:r>
          <w:r>
            <w:rPr>
              <w:rFonts w:hint="eastAsia" w:ascii="楷体" w:hAnsi="楷体" w:eastAsia="楷体"/>
              <w:szCs w:val="52"/>
              <w:lang w:val="en-US" w:eastAsia="zh-CN"/>
            </w:rPr>
            <w:fldChar w:fldCharType="end"/>
          </w:r>
        </w:p>
        <w:p>
          <w:pPr>
            <w:pStyle w:val="12"/>
            <w:tabs>
              <w:tab w:val="right" w:leader="dot" w:pos="8306"/>
            </w:tabs>
          </w:pPr>
          <w:r>
            <w:rPr>
              <w:rFonts w:hint="eastAsia" w:ascii="楷体" w:hAnsi="楷体" w:eastAsia="楷体"/>
              <w:szCs w:val="52"/>
              <w:lang w:val="en-US" w:eastAsia="zh-CN"/>
            </w:rPr>
            <w:fldChar w:fldCharType="begin"/>
          </w:r>
          <w:r>
            <w:rPr>
              <w:rFonts w:hint="eastAsia" w:ascii="楷体" w:hAnsi="楷体" w:eastAsia="楷体"/>
              <w:szCs w:val="52"/>
              <w:lang w:val="en-US" w:eastAsia="zh-CN"/>
            </w:rPr>
            <w:instrText xml:space="preserve"> HYPERLINK \l _Toc535 </w:instrText>
          </w:r>
          <w:r>
            <w:rPr>
              <w:rFonts w:hint="eastAsia" w:ascii="楷体" w:hAnsi="楷体" w:eastAsia="楷体"/>
              <w:szCs w:val="52"/>
              <w:lang w:val="en-US" w:eastAsia="zh-CN"/>
            </w:rPr>
            <w:fldChar w:fldCharType="separate"/>
          </w:r>
          <w:r>
            <w:rPr>
              <w:rFonts w:hint="eastAsia"/>
            </w:rPr>
            <w:t>4. 硬件结构</w:t>
          </w:r>
          <w:r>
            <w:tab/>
          </w:r>
          <w:r>
            <w:fldChar w:fldCharType="begin"/>
          </w:r>
          <w:r>
            <w:instrText xml:space="preserve"> PAGEREF _Toc535 \h </w:instrText>
          </w:r>
          <w:r>
            <w:fldChar w:fldCharType="separate"/>
          </w:r>
          <w:r>
            <w:t>8</w:t>
          </w:r>
          <w:r>
            <w:fldChar w:fldCharType="end"/>
          </w:r>
          <w:r>
            <w:rPr>
              <w:rFonts w:hint="eastAsia" w:ascii="楷体" w:hAnsi="楷体" w:eastAsia="楷体"/>
              <w:szCs w:val="52"/>
              <w:lang w:val="en-US" w:eastAsia="zh-CN"/>
            </w:rPr>
            <w:fldChar w:fldCharType="end"/>
          </w:r>
        </w:p>
        <w:p>
          <w:pPr>
            <w:pStyle w:val="13"/>
            <w:tabs>
              <w:tab w:val="right" w:leader="dot" w:pos="8306"/>
            </w:tabs>
          </w:pPr>
          <w:r>
            <w:rPr>
              <w:rFonts w:hint="eastAsia" w:ascii="楷体" w:hAnsi="楷体" w:eastAsia="楷体"/>
              <w:szCs w:val="52"/>
              <w:lang w:val="en-US" w:eastAsia="zh-CN"/>
            </w:rPr>
            <w:fldChar w:fldCharType="begin"/>
          </w:r>
          <w:r>
            <w:rPr>
              <w:rFonts w:hint="eastAsia" w:ascii="楷体" w:hAnsi="楷体" w:eastAsia="楷体"/>
              <w:szCs w:val="52"/>
              <w:lang w:val="en-US" w:eastAsia="zh-CN"/>
            </w:rPr>
            <w:instrText xml:space="preserve"> HYPERLINK \l _Toc26356 </w:instrText>
          </w:r>
          <w:r>
            <w:rPr>
              <w:rFonts w:hint="eastAsia" w:ascii="楷体" w:hAnsi="楷体" w:eastAsia="楷体"/>
              <w:szCs w:val="52"/>
              <w:lang w:val="en-US" w:eastAsia="zh-CN"/>
            </w:rPr>
            <w:fldChar w:fldCharType="separate"/>
          </w:r>
          <w:r>
            <w:rPr>
              <w:rFonts w:hint="eastAsia"/>
              <w:lang w:val="en-US" w:eastAsia="zh-CN"/>
            </w:rPr>
            <w:t>4.1装置外观</w:t>
          </w:r>
          <w:r>
            <w:tab/>
          </w:r>
          <w:r>
            <w:fldChar w:fldCharType="begin"/>
          </w:r>
          <w:r>
            <w:instrText xml:space="preserve"> PAGEREF _Toc26356 \h </w:instrText>
          </w:r>
          <w:r>
            <w:fldChar w:fldCharType="separate"/>
          </w:r>
          <w:r>
            <w:t>8</w:t>
          </w:r>
          <w:r>
            <w:fldChar w:fldCharType="end"/>
          </w:r>
          <w:r>
            <w:rPr>
              <w:rFonts w:hint="eastAsia" w:ascii="楷体" w:hAnsi="楷体" w:eastAsia="楷体"/>
              <w:szCs w:val="52"/>
              <w:lang w:val="en-US" w:eastAsia="zh-CN"/>
            </w:rPr>
            <w:fldChar w:fldCharType="end"/>
          </w:r>
        </w:p>
        <w:p>
          <w:pPr>
            <w:pStyle w:val="13"/>
            <w:tabs>
              <w:tab w:val="right" w:leader="dot" w:pos="8306"/>
            </w:tabs>
          </w:pPr>
          <w:r>
            <w:rPr>
              <w:rFonts w:hint="eastAsia" w:ascii="楷体" w:hAnsi="楷体" w:eastAsia="楷体"/>
              <w:szCs w:val="52"/>
              <w:lang w:val="en-US" w:eastAsia="zh-CN"/>
            </w:rPr>
            <w:fldChar w:fldCharType="begin"/>
          </w:r>
          <w:r>
            <w:rPr>
              <w:rFonts w:hint="eastAsia" w:ascii="楷体" w:hAnsi="楷体" w:eastAsia="楷体"/>
              <w:szCs w:val="52"/>
              <w:lang w:val="en-US" w:eastAsia="zh-CN"/>
            </w:rPr>
            <w:instrText xml:space="preserve"> HYPERLINK \l _Toc15952 </w:instrText>
          </w:r>
          <w:r>
            <w:rPr>
              <w:rFonts w:hint="eastAsia" w:ascii="楷体" w:hAnsi="楷体" w:eastAsia="楷体"/>
              <w:szCs w:val="52"/>
              <w:lang w:val="en-US" w:eastAsia="zh-CN"/>
            </w:rPr>
            <w:fldChar w:fldCharType="separate"/>
          </w:r>
          <w:r>
            <w:rPr>
              <w:rFonts w:hint="eastAsia"/>
            </w:rPr>
            <w:t>4.2 户外柜结构</w:t>
          </w:r>
          <w:r>
            <w:tab/>
          </w:r>
          <w:r>
            <w:fldChar w:fldCharType="begin"/>
          </w:r>
          <w:r>
            <w:instrText xml:space="preserve"> PAGEREF _Toc15952 \h </w:instrText>
          </w:r>
          <w:r>
            <w:fldChar w:fldCharType="separate"/>
          </w:r>
          <w:r>
            <w:t>9</w:t>
          </w:r>
          <w:r>
            <w:fldChar w:fldCharType="end"/>
          </w:r>
          <w:r>
            <w:rPr>
              <w:rFonts w:hint="eastAsia" w:ascii="楷体" w:hAnsi="楷体" w:eastAsia="楷体"/>
              <w:szCs w:val="52"/>
              <w:lang w:val="en-US" w:eastAsia="zh-CN"/>
            </w:rPr>
            <w:fldChar w:fldCharType="end"/>
          </w:r>
        </w:p>
        <w:p>
          <w:pPr>
            <w:pStyle w:val="13"/>
            <w:tabs>
              <w:tab w:val="right" w:leader="dot" w:pos="8306"/>
            </w:tabs>
          </w:pPr>
          <w:r>
            <w:rPr>
              <w:rFonts w:hint="eastAsia" w:ascii="楷体" w:hAnsi="楷体" w:eastAsia="楷体"/>
              <w:szCs w:val="52"/>
              <w:lang w:val="en-US" w:eastAsia="zh-CN"/>
            </w:rPr>
            <w:fldChar w:fldCharType="begin"/>
          </w:r>
          <w:r>
            <w:rPr>
              <w:rFonts w:hint="eastAsia" w:ascii="楷体" w:hAnsi="楷体" w:eastAsia="楷体"/>
              <w:szCs w:val="52"/>
              <w:lang w:val="en-US" w:eastAsia="zh-CN"/>
            </w:rPr>
            <w:instrText xml:space="preserve"> HYPERLINK \l _Toc24917 </w:instrText>
          </w:r>
          <w:r>
            <w:rPr>
              <w:rFonts w:hint="eastAsia" w:ascii="楷体" w:hAnsi="楷体" w:eastAsia="楷体"/>
              <w:szCs w:val="52"/>
              <w:lang w:val="en-US" w:eastAsia="zh-CN"/>
            </w:rPr>
            <w:fldChar w:fldCharType="separate"/>
          </w:r>
          <w:r>
            <w:rPr>
              <w:rFonts w:hint="eastAsia"/>
              <w:lang w:val="en-US" w:eastAsia="zh-CN"/>
            </w:rPr>
            <w:t>4.3装置安装</w:t>
          </w:r>
          <w:r>
            <w:tab/>
          </w:r>
          <w:r>
            <w:fldChar w:fldCharType="begin"/>
          </w:r>
          <w:r>
            <w:instrText xml:space="preserve"> PAGEREF _Toc24917 \h </w:instrText>
          </w:r>
          <w:r>
            <w:fldChar w:fldCharType="separate"/>
          </w:r>
          <w:r>
            <w:t>10</w:t>
          </w:r>
          <w:r>
            <w:fldChar w:fldCharType="end"/>
          </w:r>
          <w:r>
            <w:rPr>
              <w:rFonts w:hint="eastAsia" w:ascii="楷体" w:hAnsi="楷体" w:eastAsia="楷体"/>
              <w:szCs w:val="52"/>
              <w:lang w:val="en-US" w:eastAsia="zh-CN"/>
            </w:rPr>
            <w:fldChar w:fldCharType="end"/>
          </w:r>
        </w:p>
        <w:p>
          <w:pPr>
            <w:pStyle w:val="8"/>
            <w:tabs>
              <w:tab w:val="right" w:leader="dot" w:pos="8306"/>
            </w:tabs>
          </w:pPr>
          <w:r>
            <w:rPr>
              <w:rFonts w:hint="eastAsia" w:ascii="楷体" w:hAnsi="楷体" w:eastAsia="楷体"/>
              <w:szCs w:val="52"/>
              <w:lang w:val="en-US" w:eastAsia="zh-CN"/>
            </w:rPr>
            <w:fldChar w:fldCharType="begin"/>
          </w:r>
          <w:r>
            <w:rPr>
              <w:rFonts w:hint="eastAsia" w:ascii="楷体" w:hAnsi="楷体" w:eastAsia="楷体"/>
              <w:szCs w:val="52"/>
              <w:lang w:val="en-US" w:eastAsia="zh-CN"/>
            </w:rPr>
            <w:instrText xml:space="preserve"> HYPERLINK \l _Toc3113 </w:instrText>
          </w:r>
          <w:r>
            <w:rPr>
              <w:rFonts w:hint="eastAsia" w:ascii="楷体" w:hAnsi="楷体" w:eastAsia="楷体"/>
              <w:szCs w:val="52"/>
              <w:lang w:val="en-US" w:eastAsia="zh-CN"/>
            </w:rPr>
            <w:fldChar w:fldCharType="separate"/>
          </w:r>
          <w:r>
            <w:rPr>
              <w:rFonts w:hint="eastAsia"/>
              <w:lang w:val="en-US" w:eastAsia="zh-CN"/>
            </w:rPr>
            <w:t>4.3.1安装注意点</w:t>
          </w:r>
          <w:r>
            <w:tab/>
          </w:r>
          <w:r>
            <w:fldChar w:fldCharType="begin"/>
          </w:r>
          <w:r>
            <w:instrText xml:space="preserve"> PAGEREF _Toc3113 \h </w:instrText>
          </w:r>
          <w:r>
            <w:fldChar w:fldCharType="separate"/>
          </w:r>
          <w:r>
            <w:t>10</w:t>
          </w:r>
          <w:r>
            <w:fldChar w:fldCharType="end"/>
          </w:r>
          <w:r>
            <w:rPr>
              <w:rFonts w:hint="eastAsia" w:ascii="楷体" w:hAnsi="楷体" w:eastAsia="楷体"/>
              <w:szCs w:val="52"/>
              <w:lang w:val="en-US" w:eastAsia="zh-CN"/>
            </w:rPr>
            <w:fldChar w:fldCharType="end"/>
          </w:r>
        </w:p>
        <w:p>
          <w:pPr>
            <w:pStyle w:val="8"/>
            <w:tabs>
              <w:tab w:val="right" w:leader="dot" w:pos="8306"/>
            </w:tabs>
          </w:pPr>
          <w:r>
            <w:rPr>
              <w:rFonts w:hint="eastAsia" w:ascii="楷体" w:hAnsi="楷体" w:eastAsia="楷体"/>
              <w:szCs w:val="52"/>
              <w:lang w:val="en-US" w:eastAsia="zh-CN"/>
            </w:rPr>
            <w:fldChar w:fldCharType="begin"/>
          </w:r>
          <w:r>
            <w:rPr>
              <w:rFonts w:hint="eastAsia" w:ascii="楷体" w:hAnsi="楷体" w:eastAsia="楷体"/>
              <w:szCs w:val="52"/>
              <w:lang w:val="en-US" w:eastAsia="zh-CN"/>
            </w:rPr>
            <w:instrText xml:space="preserve"> HYPERLINK \l _Toc25206 </w:instrText>
          </w:r>
          <w:r>
            <w:rPr>
              <w:rFonts w:hint="eastAsia" w:ascii="楷体" w:hAnsi="楷体" w:eastAsia="楷体"/>
              <w:szCs w:val="52"/>
              <w:lang w:val="en-US" w:eastAsia="zh-CN"/>
            </w:rPr>
            <w:fldChar w:fldCharType="separate"/>
          </w:r>
          <w:r>
            <w:rPr>
              <w:rFonts w:hint="eastAsia"/>
              <w:lang w:val="en-US" w:eastAsia="zh-CN"/>
            </w:rPr>
            <w:t>4.3.2安装示意图</w:t>
          </w:r>
          <w:r>
            <w:tab/>
          </w:r>
          <w:r>
            <w:fldChar w:fldCharType="begin"/>
          </w:r>
          <w:r>
            <w:instrText xml:space="preserve"> PAGEREF _Toc25206 \h </w:instrText>
          </w:r>
          <w:r>
            <w:fldChar w:fldCharType="separate"/>
          </w:r>
          <w:r>
            <w:t>13</w:t>
          </w:r>
          <w:r>
            <w:fldChar w:fldCharType="end"/>
          </w:r>
          <w:r>
            <w:rPr>
              <w:rFonts w:hint="eastAsia" w:ascii="楷体" w:hAnsi="楷体" w:eastAsia="楷体"/>
              <w:szCs w:val="52"/>
              <w:lang w:val="en-US" w:eastAsia="zh-CN"/>
            </w:rPr>
            <w:fldChar w:fldCharType="end"/>
          </w:r>
        </w:p>
        <w:p>
          <w:pPr>
            <w:pStyle w:val="12"/>
            <w:tabs>
              <w:tab w:val="right" w:leader="dot" w:pos="8306"/>
            </w:tabs>
          </w:pPr>
          <w:r>
            <w:rPr>
              <w:rFonts w:hint="eastAsia" w:ascii="楷体" w:hAnsi="楷体" w:eastAsia="楷体"/>
              <w:szCs w:val="52"/>
              <w:lang w:val="en-US" w:eastAsia="zh-CN"/>
            </w:rPr>
            <w:fldChar w:fldCharType="begin"/>
          </w:r>
          <w:r>
            <w:rPr>
              <w:rFonts w:hint="eastAsia" w:ascii="楷体" w:hAnsi="楷体" w:eastAsia="楷体"/>
              <w:szCs w:val="52"/>
              <w:lang w:val="en-US" w:eastAsia="zh-CN"/>
            </w:rPr>
            <w:instrText xml:space="preserve"> HYPERLINK \l _Toc25568 </w:instrText>
          </w:r>
          <w:r>
            <w:rPr>
              <w:rFonts w:hint="eastAsia" w:ascii="楷体" w:hAnsi="楷体" w:eastAsia="楷体"/>
              <w:szCs w:val="52"/>
              <w:lang w:val="en-US" w:eastAsia="zh-CN"/>
            </w:rPr>
            <w:fldChar w:fldCharType="separate"/>
          </w:r>
          <w:r>
            <w:rPr>
              <w:rFonts w:hint="eastAsia"/>
            </w:rPr>
            <w:t>附录A：变压器智能组件监测报警值参考</w:t>
          </w:r>
          <w:r>
            <w:tab/>
          </w:r>
          <w:r>
            <w:fldChar w:fldCharType="begin"/>
          </w:r>
          <w:r>
            <w:instrText xml:space="preserve"> PAGEREF _Toc25568 \h </w:instrText>
          </w:r>
          <w:r>
            <w:fldChar w:fldCharType="separate"/>
          </w:r>
          <w:r>
            <w:t>14</w:t>
          </w:r>
          <w:r>
            <w:fldChar w:fldCharType="end"/>
          </w:r>
          <w:r>
            <w:rPr>
              <w:rFonts w:hint="eastAsia" w:ascii="楷体" w:hAnsi="楷体" w:eastAsia="楷体"/>
              <w:szCs w:val="52"/>
              <w:lang w:val="en-US" w:eastAsia="zh-CN"/>
            </w:rPr>
            <w:fldChar w:fldCharType="end"/>
          </w:r>
        </w:p>
        <w:p>
          <w:pPr>
            <w:pStyle w:val="12"/>
            <w:tabs>
              <w:tab w:val="right" w:leader="dot" w:pos="8306"/>
            </w:tabs>
          </w:pPr>
          <w:r>
            <w:rPr>
              <w:rFonts w:hint="eastAsia" w:ascii="楷体" w:hAnsi="楷体" w:eastAsia="楷体"/>
              <w:szCs w:val="52"/>
              <w:lang w:val="en-US" w:eastAsia="zh-CN"/>
            </w:rPr>
            <w:fldChar w:fldCharType="begin"/>
          </w:r>
          <w:r>
            <w:rPr>
              <w:rFonts w:hint="eastAsia" w:ascii="楷体" w:hAnsi="楷体" w:eastAsia="楷体"/>
              <w:szCs w:val="52"/>
              <w:lang w:val="en-US" w:eastAsia="zh-CN"/>
            </w:rPr>
            <w:instrText xml:space="preserve"> HYPERLINK \l _Toc30881 </w:instrText>
          </w:r>
          <w:r>
            <w:rPr>
              <w:rFonts w:hint="eastAsia" w:ascii="楷体" w:hAnsi="楷体" w:eastAsia="楷体"/>
              <w:szCs w:val="52"/>
              <w:lang w:val="en-US" w:eastAsia="zh-CN"/>
            </w:rPr>
            <w:fldChar w:fldCharType="separate"/>
          </w:r>
          <w:r>
            <w:rPr>
              <w:rFonts w:hint="eastAsia"/>
            </w:rPr>
            <w:t>A.1变压器（电抗器）油中溶解气体报警值</w:t>
          </w:r>
          <w:r>
            <w:tab/>
          </w:r>
          <w:r>
            <w:fldChar w:fldCharType="begin"/>
          </w:r>
          <w:r>
            <w:instrText xml:space="preserve"> PAGEREF _Toc30881 \h </w:instrText>
          </w:r>
          <w:r>
            <w:fldChar w:fldCharType="separate"/>
          </w:r>
          <w:r>
            <w:t>14</w:t>
          </w:r>
          <w:r>
            <w:fldChar w:fldCharType="end"/>
          </w:r>
          <w:r>
            <w:rPr>
              <w:rFonts w:hint="eastAsia" w:ascii="楷体" w:hAnsi="楷体" w:eastAsia="楷体"/>
              <w:szCs w:val="52"/>
              <w:lang w:val="en-US" w:eastAsia="zh-CN"/>
            </w:rPr>
            <w:fldChar w:fldCharType="end"/>
          </w:r>
        </w:p>
        <w:p>
          <w:pPr>
            <w:pStyle w:val="12"/>
            <w:tabs>
              <w:tab w:val="right" w:leader="dot" w:pos="8306"/>
            </w:tabs>
          </w:pPr>
          <w:r>
            <w:rPr>
              <w:rFonts w:hint="eastAsia" w:ascii="楷体" w:hAnsi="楷体" w:eastAsia="楷体"/>
              <w:szCs w:val="52"/>
              <w:lang w:val="en-US" w:eastAsia="zh-CN"/>
            </w:rPr>
            <w:fldChar w:fldCharType="begin"/>
          </w:r>
          <w:r>
            <w:rPr>
              <w:rFonts w:hint="eastAsia" w:ascii="楷体" w:hAnsi="楷体" w:eastAsia="楷体"/>
              <w:szCs w:val="52"/>
              <w:lang w:val="en-US" w:eastAsia="zh-CN"/>
            </w:rPr>
            <w:instrText xml:space="preserve"> HYPERLINK \l _Toc15765 </w:instrText>
          </w:r>
          <w:r>
            <w:rPr>
              <w:rFonts w:hint="eastAsia" w:ascii="楷体" w:hAnsi="楷体" w:eastAsia="楷体"/>
              <w:szCs w:val="52"/>
              <w:lang w:val="en-US" w:eastAsia="zh-CN"/>
            </w:rPr>
            <w:fldChar w:fldCharType="separate"/>
          </w:r>
          <w:r>
            <w:rPr>
              <w:rFonts w:hint="eastAsia"/>
              <w:kern w:val="0"/>
            </w:rPr>
            <w:t>A.2变压器油中微水监测报警值</w:t>
          </w:r>
          <w:r>
            <w:tab/>
          </w:r>
          <w:r>
            <w:fldChar w:fldCharType="begin"/>
          </w:r>
          <w:r>
            <w:instrText xml:space="preserve"> PAGEREF _Toc15765 \h </w:instrText>
          </w:r>
          <w:r>
            <w:fldChar w:fldCharType="separate"/>
          </w:r>
          <w:r>
            <w:t>15</w:t>
          </w:r>
          <w:r>
            <w:fldChar w:fldCharType="end"/>
          </w:r>
          <w:r>
            <w:rPr>
              <w:rFonts w:hint="eastAsia" w:ascii="楷体" w:hAnsi="楷体" w:eastAsia="楷体"/>
              <w:szCs w:val="52"/>
              <w:lang w:val="en-US" w:eastAsia="zh-CN"/>
            </w:rPr>
            <w:fldChar w:fldCharType="end"/>
          </w:r>
        </w:p>
        <w:p>
          <w:pPr>
            <w:pStyle w:val="12"/>
            <w:tabs>
              <w:tab w:val="right" w:leader="dot" w:pos="8306"/>
            </w:tabs>
          </w:pPr>
          <w:r>
            <w:rPr>
              <w:rFonts w:hint="eastAsia" w:ascii="楷体" w:hAnsi="楷体" w:eastAsia="楷体"/>
              <w:szCs w:val="52"/>
              <w:lang w:val="en-US" w:eastAsia="zh-CN"/>
            </w:rPr>
            <w:fldChar w:fldCharType="begin"/>
          </w:r>
          <w:r>
            <w:rPr>
              <w:rFonts w:hint="eastAsia" w:ascii="楷体" w:hAnsi="楷体" w:eastAsia="楷体"/>
              <w:szCs w:val="52"/>
              <w:lang w:val="en-US" w:eastAsia="zh-CN"/>
            </w:rPr>
            <w:instrText xml:space="preserve"> HYPERLINK \l _Toc14980 </w:instrText>
          </w:r>
          <w:r>
            <w:rPr>
              <w:rFonts w:hint="eastAsia" w:ascii="楷体" w:hAnsi="楷体" w:eastAsia="楷体"/>
              <w:szCs w:val="52"/>
              <w:lang w:val="en-US" w:eastAsia="zh-CN"/>
            </w:rPr>
            <w:fldChar w:fldCharType="separate"/>
          </w:r>
          <w:r>
            <w:rPr>
              <w:rFonts w:hint="eastAsia"/>
            </w:rPr>
            <w:t>A.3变压器铁芯接地电流监测装置</w:t>
          </w:r>
          <w:r>
            <w:tab/>
          </w:r>
          <w:r>
            <w:fldChar w:fldCharType="begin"/>
          </w:r>
          <w:r>
            <w:instrText xml:space="preserve"> PAGEREF _Toc14980 \h </w:instrText>
          </w:r>
          <w:r>
            <w:fldChar w:fldCharType="separate"/>
          </w:r>
          <w:r>
            <w:t>16</w:t>
          </w:r>
          <w:r>
            <w:fldChar w:fldCharType="end"/>
          </w:r>
          <w:r>
            <w:rPr>
              <w:rFonts w:hint="eastAsia" w:ascii="楷体" w:hAnsi="楷体" w:eastAsia="楷体"/>
              <w:szCs w:val="52"/>
              <w:lang w:val="en-US" w:eastAsia="zh-CN"/>
            </w:rPr>
            <w:fldChar w:fldCharType="end"/>
          </w:r>
        </w:p>
        <w:p>
          <w:pPr>
            <w:pStyle w:val="9"/>
            <w:ind w:firstLine="960" w:firstLineChars="400"/>
            <w:jc w:val="both"/>
            <w:rPr>
              <w:rFonts w:hint="eastAsia" w:ascii="楷体" w:hAnsi="楷体" w:eastAsia="楷体"/>
              <w:b/>
              <w:sz w:val="52"/>
              <w:szCs w:val="52"/>
              <w:lang w:val="en-US" w:eastAsia="zh-CN"/>
            </w:rPr>
          </w:pPr>
          <w:r>
            <w:rPr>
              <w:rFonts w:hint="eastAsia" w:ascii="楷体" w:hAnsi="楷体" w:eastAsia="楷体"/>
              <w:szCs w:val="52"/>
              <w:lang w:val="en-US" w:eastAsia="zh-CN"/>
            </w:rPr>
            <w:fldChar w:fldCharType="end"/>
          </w:r>
        </w:p>
      </w:sdtContent>
    </w:sdt>
    <w:p>
      <w:pPr>
        <w:pStyle w:val="9"/>
        <w:ind w:firstLine="2088" w:firstLineChars="400"/>
        <w:jc w:val="both"/>
        <w:rPr>
          <w:rFonts w:hint="eastAsia" w:ascii="楷体" w:hAnsi="楷体" w:eastAsia="楷体"/>
          <w:b/>
          <w:sz w:val="52"/>
          <w:szCs w:val="52"/>
          <w:lang w:val="en-US" w:eastAsia="zh-CN"/>
        </w:rPr>
      </w:pPr>
    </w:p>
    <w:p>
      <w:pPr>
        <w:pStyle w:val="9"/>
        <w:ind w:firstLine="2088" w:firstLineChars="400"/>
        <w:jc w:val="both"/>
        <w:rPr>
          <w:rFonts w:hint="eastAsia" w:ascii="楷体" w:hAnsi="楷体" w:eastAsia="楷体"/>
          <w:b/>
          <w:sz w:val="52"/>
          <w:szCs w:val="52"/>
          <w:lang w:val="en-US" w:eastAsia="zh-CN"/>
        </w:rPr>
      </w:pPr>
    </w:p>
    <w:p>
      <w:pPr>
        <w:pStyle w:val="9"/>
        <w:ind w:firstLine="2088" w:firstLineChars="400"/>
        <w:jc w:val="both"/>
        <w:rPr>
          <w:rFonts w:hint="eastAsia" w:ascii="楷体" w:hAnsi="楷体" w:eastAsia="楷体"/>
          <w:b/>
          <w:sz w:val="52"/>
          <w:szCs w:val="52"/>
          <w:lang w:val="en-US" w:eastAsia="zh-CN"/>
        </w:rPr>
      </w:pPr>
    </w:p>
    <w:p>
      <w:pPr>
        <w:pStyle w:val="9"/>
        <w:ind w:firstLine="2088" w:firstLineChars="400"/>
        <w:jc w:val="both"/>
        <w:rPr>
          <w:rFonts w:hint="eastAsia" w:ascii="楷体" w:hAnsi="楷体" w:eastAsia="楷体"/>
          <w:b/>
          <w:sz w:val="52"/>
          <w:szCs w:val="52"/>
          <w:lang w:val="en-US" w:eastAsia="zh-CN"/>
        </w:rPr>
      </w:pPr>
    </w:p>
    <w:p>
      <w:pPr>
        <w:pStyle w:val="9"/>
        <w:jc w:val="both"/>
        <w:rPr>
          <w:rFonts w:hint="eastAsia" w:ascii="楷体" w:hAnsi="楷体" w:eastAsia="楷体"/>
          <w:b/>
          <w:sz w:val="52"/>
          <w:szCs w:val="52"/>
          <w:lang w:val="en-US" w:eastAsia="zh-CN"/>
        </w:rPr>
      </w:pPr>
    </w:p>
    <w:p>
      <w:pPr>
        <w:pStyle w:val="4"/>
        <w:bidi w:val="0"/>
      </w:pPr>
      <w:bookmarkStart w:id="3" w:name="_Toc393354409"/>
      <w:bookmarkStart w:id="4" w:name="_Toc6235"/>
      <w:bookmarkStart w:id="5" w:name="_Toc26694"/>
      <w:bookmarkStart w:id="6" w:name="_Toc4989"/>
      <w:bookmarkStart w:id="7" w:name="_Toc9521"/>
      <w:bookmarkStart w:id="8" w:name="_Toc30230"/>
      <w:bookmarkStart w:id="9" w:name="_Toc9283"/>
      <w:r>
        <w:rPr>
          <w:rFonts w:hint="eastAsia"/>
        </w:rPr>
        <w:t>1. 概述</w:t>
      </w:r>
      <w:bookmarkEnd w:id="3"/>
      <w:bookmarkEnd w:id="4"/>
      <w:bookmarkEnd w:id="5"/>
      <w:bookmarkEnd w:id="6"/>
      <w:bookmarkEnd w:id="7"/>
      <w:bookmarkEnd w:id="8"/>
      <w:bookmarkEnd w:id="9"/>
    </w:p>
    <w:p>
      <w:pPr>
        <w:pStyle w:val="9"/>
        <w:bidi w:val="0"/>
        <w:ind w:firstLine="480" w:firstLineChars="200"/>
        <w:rPr>
          <w:rStyle w:val="16"/>
          <w:b w:val="0"/>
          <w:bCs w:val="0"/>
        </w:rPr>
      </w:pPr>
      <w:r>
        <w:rPr>
          <w:rStyle w:val="16"/>
          <w:rFonts w:hint="eastAsia"/>
          <w:b w:val="0"/>
          <w:bCs w:val="0"/>
        </w:rPr>
        <w:t>变压器油色谱在线监测系统（多组份原理）是基于气相色谱技术的变压器油中溶解多组份气体在线监测产品，如图1-1所示。系统能按设定周期在线检测出变压器油中溶解H2、CO、CO2、CH4、C2H2、C2H4、C2H6等7组份气体的含量，可通过专家系统判断是否存在潜伏性故障，是过热性故障还是放电性故障，并按设定的报警值进行报警。变压器油色谱在线监测系统能通过站控层网络将油中溶解气体在线监测信息按IEC61850标准组织上送至后台软件。</w:t>
      </w:r>
    </w:p>
    <w:p>
      <w:pPr>
        <w:pStyle w:val="9"/>
        <w:bidi w:val="0"/>
        <w:rPr>
          <w:rStyle w:val="16"/>
          <w:rFonts w:hint="eastAsia"/>
          <w:b w:val="0"/>
          <w:bCs w:val="0"/>
          <w:lang w:val="en-US" w:eastAsia="zh-CN"/>
        </w:rPr>
      </w:pPr>
      <w:r>
        <w:rPr>
          <w:rStyle w:val="16"/>
          <w:rFonts w:hint="eastAsia"/>
          <w:b w:val="0"/>
          <w:bCs w:val="0"/>
        </w:rPr>
        <w:t>装置采用分布式控制采样技术，具有自诊断、自恢复功能。各功能模件耦合弱，功能独立，采用机架式架构，便于工程维护。</w:t>
      </w:r>
    </w:p>
    <w:p>
      <w:pPr>
        <w:tabs>
          <w:tab w:val="left" w:pos="4706"/>
        </w:tabs>
        <w:bidi w:val="0"/>
        <w:jc w:val="left"/>
        <w:rPr>
          <w:rFonts w:hint="eastAsia" w:ascii="宋体" w:hAnsi="宋体" w:eastAsia="宋体"/>
          <w:sz w:val="24"/>
          <w:lang w:eastAsia="zh-CN"/>
        </w:rPr>
      </w:pPr>
    </w:p>
    <w:p>
      <w:pPr>
        <w:tabs>
          <w:tab w:val="left" w:pos="4706"/>
        </w:tabs>
        <w:bidi w:val="0"/>
        <w:jc w:val="left"/>
        <w:rPr>
          <w:rFonts w:hint="eastAsia" w:ascii="宋体" w:hAnsi="宋体" w:eastAsia="宋体"/>
          <w:sz w:val="24"/>
          <w:lang w:eastAsia="zh-CN"/>
        </w:rPr>
      </w:pPr>
    </w:p>
    <w:p>
      <w:pPr>
        <w:pStyle w:val="4"/>
        <w:numPr>
          <w:ilvl w:val="0"/>
          <w:numId w:val="1"/>
        </w:numPr>
        <w:bidi w:val="0"/>
      </w:pPr>
      <w:bookmarkStart w:id="10" w:name="_Toc32008"/>
      <w:bookmarkStart w:id="11" w:name="_Toc16518"/>
      <w:bookmarkStart w:id="12" w:name="_Toc24465"/>
      <w:bookmarkStart w:id="13" w:name="_Toc15938"/>
      <w:bookmarkStart w:id="14" w:name="_Toc12156"/>
      <w:bookmarkStart w:id="15" w:name="_Toc20274"/>
      <w:r>
        <w:rPr>
          <w:rFonts w:hint="eastAsia"/>
          <w:lang w:val="en-US" w:eastAsia="zh-CN"/>
        </w:rPr>
        <w:t>系统组成</w:t>
      </w:r>
      <w:r>
        <w:rPr>
          <w:rFonts w:hint="eastAsia"/>
        </w:rPr>
        <w:t>及</w:t>
      </w:r>
      <w:r>
        <w:rPr>
          <w:rFonts w:hint="eastAsia"/>
          <w:lang w:val="en-US" w:eastAsia="zh-CN"/>
        </w:rPr>
        <w:t>功能</w:t>
      </w:r>
      <w:r>
        <w:rPr>
          <w:rFonts w:hint="eastAsia"/>
        </w:rPr>
        <w:t>原理</w:t>
      </w:r>
      <w:bookmarkEnd w:id="10"/>
      <w:bookmarkEnd w:id="11"/>
      <w:bookmarkEnd w:id="12"/>
      <w:bookmarkEnd w:id="13"/>
      <w:bookmarkEnd w:id="14"/>
      <w:bookmarkEnd w:id="15"/>
    </w:p>
    <w:p>
      <w:pPr>
        <w:pStyle w:val="5"/>
        <w:bidi w:val="0"/>
        <w:rPr>
          <w:rFonts w:hint="eastAsia"/>
          <w:lang w:val="en-US" w:eastAsia="zh-CN"/>
        </w:rPr>
      </w:pPr>
      <w:bookmarkStart w:id="16" w:name="_Toc21241"/>
      <w:bookmarkStart w:id="17" w:name="_Toc2966"/>
      <w:bookmarkStart w:id="18" w:name="_Toc25327"/>
      <w:bookmarkStart w:id="19" w:name="_Toc22198"/>
      <w:r>
        <w:rPr>
          <w:rFonts w:hint="eastAsia"/>
          <w:lang w:val="en-US" w:eastAsia="zh-CN"/>
        </w:rPr>
        <w:t>2.1系统组成</w:t>
      </w:r>
      <w:bookmarkEnd w:id="16"/>
      <w:bookmarkEnd w:id="17"/>
      <w:bookmarkEnd w:id="18"/>
      <w:bookmarkEnd w:id="19"/>
    </w:p>
    <w:p>
      <w:pPr>
        <w:ind w:firstLine="240" w:firstLineChars="100"/>
        <w:outlineLvl w:val="9"/>
        <w:rPr>
          <w:sz w:val="24"/>
          <w:szCs w:val="24"/>
        </w:rPr>
      </w:pPr>
      <w:r>
        <w:rPr>
          <w:rFonts w:hint="eastAsia" w:ascii="宋体" w:hAnsi="宋体"/>
          <w:sz w:val="24"/>
          <w:szCs w:val="24"/>
        </w:rPr>
        <w:t>变压器油中溶解气体监测装置由</w:t>
      </w:r>
      <w:r>
        <w:rPr>
          <w:rFonts w:hint="eastAsia"/>
          <w:sz w:val="24"/>
          <w:szCs w:val="24"/>
        </w:rPr>
        <w:t>柱箱单元、脱气单元、载气单元</w:t>
      </w:r>
      <w:r>
        <w:rPr>
          <w:rFonts w:hint="eastAsia" w:ascii="宋体" w:hAnsi="宋体"/>
          <w:sz w:val="24"/>
          <w:szCs w:val="24"/>
        </w:rPr>
        <w:t>、主控单元四部分构成，如图2-1所示。</w:t>
      </w:r>
    </w:p>
    <w:p>
      <w:pPr>
        <w:tabs>
          <w:tab w:val="left" w:pos="4706"/>
        </w:tabs>
        <w:bidi w:val="0"/>
        <w:jc w:val="left"/>
      </w:pPr>
      <w:r>
        <w:rPr>
          <w:rFonts w:hint="eastAsia"/>
          <w:lang w:val="en-US" w:eastAsia="zh-CN"/>
        </w:rPr>
        <w:t xml:space="preserve">            </w:t>
      </w:r>
      <w:r>
        <w:drawing>
          <wp:inline distT="0" distB="0" distL="114300" distR="114300">
            <wp:extent cx="3611880" cy="2095500"/>
            <wp:effectExtent l="0" t="0" r="0" b="7620"/>
            <wp:docPr id="1" name="图片 1" descr="62622aa7d180b508c66106e39cd0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2622aa7d180b508c66106e39cd0474"/>
                    <pic:cNvPicPr>
                      <a:picLocks noChangeAspect="1"/>
                    </pic:cNvPicPr>
                  </pic:nvPicPr>
                  <pic:blipFill>
                    <a:blip r:embed="rId12"/>
                    <a:stretch>
                      <a:fillRect/>
                    </a:stretch>
                  </pic:blipFill>
                  <pic:spPr>
                    <a:xfrm>
                      <a:off x="0" y="0"/>
                      <a:ext cx="3611880" cy="2095500"/>
                    </a:xfrm>
                    <a:prstGeom prst="rect">
                      <a:avLst/>
                    </a:prstGeom>
                  </pic:spPr>
                </pic:pic>
              </a:graphicData>
            </a:graphic>
          </wp:inline>
        </w:drawing>
      </w:r>
    </w:p>
    <w:p>
      <w:pPr>
        <w:spacing w:line="360" w:lineRule="auto"/>
        <w:ind w:firstLine="480" w:firstLineChars="200"/>
        <w:outlineLvl w:val="9"/>
        <w:rPr>
          <w:rFonts w:hint="eastAsia" w:ascii="宋体" w:hAnsi="宋体" w:eastAsia="宋体" w:cs="宋体"/>
          <w:sz w:val="21"/>
          <w:szCs w:val="21"/>
        </w:rPr>
      </w:pPr>
      <w:r>
        <w:rPr>
          <w:rFonts w:hint="eastAsia" w:ascii="宋体" w:hAnsi="宋体" w:eastAsia="宋体" w:cs="宋体"/>
          <w:sz w:val="24"/>
          <w:szCs w:val="24"/>
        </w:rPr>
        <w:t xml:space="preserve"> </w:t>
      </w:r>
      <w:r>
        <w:rPr>
          <w:rFonts w:hint="eastAsia" w:ascii="宋体" w:hAnsi="宋体" w:eastAsia="宋体" w:cs="宋体"/>
          <w:sz w:val="21"/>
          <w:szCs w:val="21"/>
        </w:rPr>
        <w:t>变压器油色谱在线监测系统可由现场监测主机独立完成，现场监测主机包含色谱数据采集处理模块、、油气分离模块、气体检测模块、气源模块等四个高集成模块和辅助单元组成。其中色谱数据采集处理模块包含数据采集单元、现场控制处理单元、通讯控制单元及61850规约通讯等；油气分离模块包含油样循环采集单元、油样定量单元、油样处理返回单元、脱气集气单元等；气体检测模块包含气体分离单元、恒温恒流控制单元、气体检测单元等；</w:t>
      </w:r>
      <w:r>
        <w:rPr>
          <w:rFonts w:hint="eastAsia" w:ascii="宋体" w:hAnsi="宋体" w:eastAsia="宋体" w:cs="宋体"/>
          <w:color w:val="FF0000"/>
          <w:sz w:val="21"/>
          <w:szCs w:val="21"/>
        </w:rPr>
        <w:t>气源模块包含产气单元、储气单元、净化单元、压力控制和报警单元</w:t>
      </w:r>
      <w:r>
        <w:rPr>
          <w:rFonts w:hint="eastAsia" w:ascii="宋体" w:hAnsi="宋体" w:eastAsia="宋体" w:cs="宋体"/>
          <w:sz w:val="21"/>
          <w:szCs w:val="21"/>
        </w:rPr>
        <w:t>等；辅助单元包括置于变压器接口、油管及通信及电源电缆等。</w:t>
      </w:r>
    </w:p>
    <w:p>
      <w:pPr>
        <w:pStyle w:val="5"/>
        <w:bidi w:val="0"/>
        <w:rPr>
          <w:rFonts w:hint="eastAsia"/>
          <w:lang w:val="en-US" w:eastAsia="zh-CN"/>
        </w:rPr>
      </w:pPr>
      <w:bookmarkStart w:id="20" w:name="_Toc22247"/>
      <w:bookmarkStart w:id="21" w:name="_Toc25961"/>
      <w:bookmarkStart w:id="22" w:name="_Toc1316"/>
      <w:bookmarkStart w:id="23" w:name="_Toc7024"/>
      <w:r>
        <w:rPr>
          <w:rFonts w:hint="eastAsia"/>
          <w:lang w:val="en-US" w:eastAsia="zh-CN"/>
        </w:rPr>
        <w:t>2.2功能原理</w:t>
      </w:r>
      <w:bookmarkEnd w:id="20"/>
      <w:bookmarkEnd w:id="21"/>
      <w:bookmarkEnd w:id="22"/>
      <w:bookmarkEnd w:id="23"/>
    </w:p>
    <w:p>
      <w:pPr>
        <w:pStyle w:val="9"/>
        <w:bidi w:val="0"/>
        <w:ind w:firstLine="480" w:firstLineChars="200"/>
        <w:rPr>
          <w:rFonts w:hint="eastAsia"/>
          <w:color w:val="FF0000"/>
        </w:rPr>
      </w:pPr>
      <w:r>
        <w:rPr>
          <w:rFonts w:hint="eastAsia"/>
        </w:rPr>
        <w:t>在主控单元控制下，各单元协同工作，按设定流程完成变压器油中溶解气体组份的在线监测和分析：</w:t>
      </w:r>
      <w:r>
        <w:rPr>
          <w:rFonts w:hint="eastAsia"/>
          <w:color w:val="FF0000"/>
        </w:rPr>
        <w:t>载气单元可自产载气；脱气单元负责油气分离；柱箱单元用于将气体各组份分离并产生谱图文件；主控单元控制油色谱采样的整体流程，分析谱图文件，计算各气体组份浓度，采用三比值法、大卫三角法，对变压器工况进行初步诊断，原始谱图文件、测量数据及诊断结果按IEC61850标准组织，上送后台软件。</w:t>
      </w:r>
    </w:p>
    <w:p>
      <w:pPr>
        <w:pStyle w:val="9"/>
        <w:bidi w:val="0"/>
      </w:pPr>
    </w:p>
    <w:p>
      <w:pPr>
        <w:pStyle w:val="9"/>
        <w:bidi w:val="0"/>
        <w:rPr>
          <w:rFonts w:hint="eastAsia"/>
        </w:rPr>
      </w:pPr>
      <w:bookmarkStart w:id="24" w:name="_Toc17174"/>
      <w:r>
        <w:rPr>
          <w:rFonts w:hint="eastAsia"/>
        </w:rPr>
        <w:t>主控单元可以连接调试软件，仿真后台软件功能，设置装置参数，控制装置的色谱分析流程。</w:t>
      </w:r>
      <w:bookmarkEnd w:id="24"/>
      <w:bookmarkStart w:id="25" w:name="_Toc13742"/>
    </w:p>
    <w:p>
      <w:pPr>
        <w:pStyle w:val="5"/>
        <w:bidi w:val="0"/>
        <w:rPr>
          <w:rFonts w:hint="eastAsia"/>
          <w:lang w:val="en-US" w:eastAsia="zh-CN"/>
        </w:rPr>
      </w:pPr>
      <w:bookmarkStart w:id="26" w:name="_Toc9614"/>
      <w:r>
        <w:rPr>
          <w:rFonts w:hint="eastAsia"/>
          <w:lang w:val="en-US" w:eastAsia="zh-CN"/>
        </w:rPr>
        <w:t>2.3 配置原则</w:t>
      </w:r>
      <w:bookmarkEnd w:id="26"/>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110kV以上变电站目前按照国网技术规范标准配置为两台主变，按照油色谱在线监测的装置的原理来分析，标准配置为1台</w:t>
      </w:r>
      <w:r>
        <w:rPr>
          <w:rFonts w:hint="eastAsia" w:ascii="宋体" w:hAnsi="宋体" w:cs="宋体"/>
          <w:sz w:val="24"/>
          <w:szCs w:val="24"/>
          <w:lang w:val="en-US" w:eastAsia="zh-CN"/>
        </w:rPr>
        <w:t>变压器</w:t>
      </w:r>
      <w:r>
        <w:rPr>
          <w:rFonts w:hint="eastAsia" w:ascii="宋体" w:hAnsi="宋体" w:eastAsia="宋体" w:cs="宋体"/>
          <w:sz w:val="24"/>
          <w:szCs w:val="24"/>
          <w:lang w:val="en-US" w:eastAsia="zh-CN"/>
        </w:rPr>
        <w:t>配置一台油色谱在线监测装置。</w:t>
      </w:r>
    </w:p>
    <w:p>
      <w:pPr>
        <w:pStyle w:val="2"/>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500kV电压等级变电站，情况特殊，一</w:t>
      </w:r>
      <w:r>
        <w:rPr>
          <w:rFonts w:hint="eastAsia" w:ascii="宋体" w:hAnsi="宋体" w:eastAsia="宋体" w:cs="宋体"/>
          <w:color w:val="FF0000"/>
          <w:sz w:val="24"/>
          <w:szCs w:val="24"/>
          <w:lang w:val="en-US" w:eastAsia="zh-CN"/>
        </w:rPr>
        <w:t>般为一台主变每ABC一相</w:t>
      </w:r>
      <w:r>
        <w:rPr>
          <w:rFonts w:hint="eastAsia" w:ascii="宋体" w:hAnsi="宋体" w:cs="宋体"/>
          <w:color w:val="FF0000"/>
          <w:sz w:val="24"/>
          <w:szCs w:val="24"/>
          <w:lang w:val="en-US" w:eastAsia="zh-CN"/>
        </w:rPr>
        <w:t>配置</w:t>
      </w:r>
      <w:r>
        <w:rPr>
          <w:rFonts w:hint="eastAsia" w:ascii="宋体" w:hAnsi="宋体" w:eastAsia="宋体" w:cs="宋体"/>
          <w:color w:val="FF0000"/>
          <w:sz w:val="24"/>
          <w:szCs w:val="24"/>
          <w:lang w:val="en-US" w:eastAsia="zh-CN"/>
        </w:rPr>
        <w:t>一台变压器</w:t>
      </w:r>
      <w:r>
        <w:rPr>
          <w:rFonts w:hint="eastAsia" w:ascii="宋体" w:hAnsi="宋体" w:eastAsia="宋体" w:cs="宋体"/>
          <w:sz w:val="24"/>
          <w:szCs w:val="24"/>
          <w:lang w:val="en-US" w:eastAsia="zh-CN"/>
        </w:rPr>
        <w:t>，所以配置原则为一台变压器搭配一台油色谱，举例如果500kV两台主变，则配置原则为6台油色谱。</w:t>
      </w:r>
    </w:p>
    <w:p>
      <w:pPr>
        <w:pStyle w:val="2"/>
        <w:rPr>
          <w:rFonts w:hint="default"/>
          <w:lang w:val="en-US" w:eastAsia="zh-CN"/>
        </w:rPr>
      </w:pPr>
    </w:p>
    <w:p>
      <w:pPr>
        <w:pStyle w:val="2"/>
        <w:rPr>
          <w:rFonts w:hint="default"/>
          <w:lang w:val="en-US" w:eastAsia="zh-CN"/>
        </w:rPr>
      </w:pPr>
    </w:p>
    <w:p>
      <w:pPr>
        <w:rPr>
          <w:rFonts w:hint="default"/>
          <w:lang w:val="en-US" w:eastAsia="zh-CN"/>
        </w:rPr>
      </w:pPr>
      <w:r>
        <w:rPr>
          <w:rFonts w:hint="default"/>
          <w:lang w:val="en-US" w:eastAsia="zh-CN"/>
        </w:rPr>
        <w:drawing>
          <wp:inline distT="0" distB="0" distL="114300" distR="114300">
            <wp:extent cx="5270500" cy="2609215"/>
            <wp:effectExtent l="0" t="0" r="2540" b="12065"/>
            <wp:docPr id="2" name="图片 2" descr="43260944ecb608ee45c7c4802474c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3260944ecb608ee45c7c4802474c0f"/>
                    <pic:cNvPicPr>
                      <a:picLocks noChangeAspect="1"/>
                    </pic:cNvPicPr>
                  </pic:nvPicPr>
                  <pic:blipFill>
                    <a:blip r:embed="rId13"/>
                    <a:stretch>
                      <a:fillRect/>
                    </a:stretch>
                  </pic:blipFill>
                  <pic:spPr>
                    <a:xfrm>
                      <a:off x="0" y="0"/>
                      <a:ext cx="5270500" cy="2609215"/>
                    </a:xfrm>
                    <a:prstGeom prst="rect">
                      <a:avLst/>
                    </a:prstGeom>
                  </pic:spPr>
                </pic:pic>
              </a:graphicData>
            </a:graphic>
          </wp:inline>
        </w:drawing>
      </w:r>
    </w:p>
    <w:p>
      <w:pPr>
        <w:pStyle w:val="4"/>
        <w:bidi w:val="0"/>
        <w:rPr>
          <w:rFonts w:hint="default"/>
          <w:lang w:val="en-US" w:eastAsia="zh-CN"/>
        </w:rPr>
      </w:pPr>
      <w:bookmarkStart w:id="27" w:name="_Toc13985"/>
      <w:bookmarkStart w:id="28" w:name="_Toc15093"/>
      <w:r>
        <w:rPr>
          <w:rFonts w:hint="eastAsia"/>
          <w:lang w:val="en-US" w:eastAsia="zh-CN"/>
        </w:rPr>
        <w:t>3.装置技术参数</w:t>
      </w:r>
      <w:bookmarkEnd w:id="25"/>
      <w:bookmarkEnd w:id="27"/>
      <w:bookmarkEnd w:id="28"/>
    </w:p>
    <w:p>
      <w:pPr>
        <w:pStyle w:val="5"/>
      </w:pPr>
      <w:bookmarkStart w:id="29" w:name="_Toc5398"/>
      <w:bookmarkStart w:id="30" w:name="_Toc393354413"/>
      <w:bookmarkStart w:id="31" w:name="_Toc8150"/>
      <w:r>
        <w:rPr>
          <w:rFonts w:hint="eastAsia"/>
        </w:rPr>
        <w:t>3.</w:t>
      </w:r>
      <w:r>
        <w:rPr>
          <w:rFonts w:hint="eastAsia"/>
          <w:lang w:val="en-US" w:eastAsia="zh-CN"/>
        </w:rPr>
        <w:t>1</w:t>
      </w:r>
      <w:r>
        <w:rPr>
          <w:rFonts w:hint="eastAsia"/>
        </w:rPr>
        <w:t xml:space="preserve"> 技术指标</w:t>
      </w:r>
      <w:bookmarkEnd w:id="29"/>
      <w:bookmarkEnd w:id="30"/>
      <w:bookmarkEnd w:id="31"/>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633"/>
        <w:gridCol w:w="1921"/>
        <w:gridCol w:w="3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blHeader/>
          <w:jc w:val="center"/>
        </w:trPr>
        <w:tc>
          <w:tcPr>
            <w:tcW w:w="77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263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技术参数名称</w:t>
            </w:r>
          </w:p>
        </w:tc>
        <w:tc>
          <w:tcPr>
            <w:tcW w:w="5107" w:type="dxa"/>
            <w:gridSpan w:val="2"/>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提供值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blHeader/>
          <w:jc w:val="center"/>
        </w:trPr>
        <w:tc>
          <w:tcPr>
            <w:tcW w:w="77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63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装置型号</w:t>
            </w:r>
          </w:p>
        </w:tc>
        <w:tc>
          <w:tcPr>
            <w:tcW w:w="5107" w:type="dxa"/>
            <w:gridSpan w:val="2"/>
            <w:noWrap w:val="0"/>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YSP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263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工作环境温度</w:t>
            </w:r>
          </w:p>
        </w:tc>
        <w:tc>
          <w:tcPr>
            <w:tcW w:w="5107" w:type="dxa"/>
            <w:gridSpan w:val="2"/>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-40℃～＋65℃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263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工作环境湿度</w:t>
            </w:r>
          </w:p>
        </w:tc>
        <w:tc>
          <w:tcPr>
            <w:tcW w:w="5107" w:type="dxa"/>
            <w:gridSpan w:val="2"/>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相对湿度5～95%（装置内部既无凝露，也不结冰）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263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大气压力</w:t>
            </w:r>
          </w:p>
        </w:tc>
        <w:tc>
          <w:tcPr>
            <w:tcW w:w="5107" w:type="dxa"/>
            <w:gridSpan w:val="2"/>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70kPa～110kPa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263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工作电源</w:t>
            </w:r>
          </w:p>
        </w:tc>
        <w:tc>
          <w:tcPr>
            <w:tcW w:w="5107" w:type="dxa"/>
            <w:gridSpan w:val="2"/>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AC 220 V±10% ， 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6</w:t>
            </w:r>
          </w:p>
        </w:tc>
        <w:tc>
          <w:tcPr>
            <w:tcW w:w="263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监测组份</w:t>
            </w:r>
          </w:p>
        </w:tc>
        <w:tc>
          <w:tcPr>
            <w:tcW w:w="5107" w:type="dxa"/>
            <w:gridSpan w:val="2"/>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H</w:t>
            </w:r>
            <w:r>
              <w:rPr>
                <w:rFonts w:hint="eastAsia" w:ascii="宋体" w:hAnsi="宋体" w:eastAsia="宋体" w:cs="宋体"/>
                <w:szCs w:val="21"/>
                <w:vertAlign w:val="subscript"/>
              </w:rPr>
              <w:t>2</w:t>
            </w:r>
            <w:r>
              <w:rPr>
                <w:rFonts w:hint="eastAsia" w:ascii="宋体" w:hAnsi="宋体" w:eastAsia="宋体" w:cs="宋体"/>
                <w:szCs w:val="21"/>
              </w:rPr>
              <w:t>、 CO、 CO</w:t>
            </w:r>
            <w:r>
              <w:rPr>
                <w:rFonts w:hint="eastAsia" w:ascii="宋体" w:hAnsi="宋体" w:eastAsia="宋体" w:cs="宋体"/>
                <w:szCs w:val="21"/>
                <w:vertAlign w:val="subscript"/>
              </w:rPr>
              <w:t>2</w:t>
            </w:r>
            <w:r>
              <w:rPr>
                <w:rFonts w:hint="eastAsia" w:ascii="宋体" w:hAnsi="宋体" w:eastAsia="宋体" w:cs="宋体"/>
                <w:szCs w:val="21"/>
              </w:rPr>
              <w:t>、 CH</w:t>
            </w:r>
            <w:r>
              <w:rPr>
                <w:rFonts w:hint="eastAsia" w:ascii="宋体" w:hAnsi="宋体" w:eastAsia="宋体" w:cs="宋体"/>
                <w:szCs w:val="21"/>
                <w:vertAlign w:val="subscript"/>
              </w:rPr>
              <w:t>4</w:t>
            </w:r>
            <w:r>
              <w:rPr>
                <w:rFonts w:hint="eastAsia" w:ascii="宋体" w:hAnsi="宋体" w:eastAsia="宋体" w:cs="宋体"/>
                <w:szCs w:val="21"/>
              </w:rPr>
              <w:t>、 C</w:t>
            </w:r>
            <w:r>
              <w:rPr>
                <w:rFonts w:hint="eastAsia" w:ascii="宋体" w:hAnsi="宋体" w:eastAsia="宋体" w:cs="宋体"/>
                <w:szCs w:val="21"/>
                <w:vertAlign w:val="subscript"/>
              </w:rPr>
              <w:t>2</w:t>
            </w:r>
            <w:r>
              <w:rPr>
                <w:rFonts w:hint="eastAsia" w:ascii="宋体" w:hAnsi="宋体" w:eastAsia="宋体" w:cs="宋体"/>
                <w:szCs w:val="21"/>
              </w:rPr>
              <w:t>H</w:t>
            </w:r>
            <w:r>
              <w:rPr>
                <w:rFonts w:hint="eastAsia" w:ascii="宋体" w:hAnsi="宋体" w:eastAsia="宋体" w:cs="宋体"/>
                <w:szCs w:val="21"/>
                <w:vertAlign w:val="subscript"/>
              </w:rPr>
              <w:t>4</w:t>
            </w:r>
            <w:r>
              <w:rPr>
                <w:rFonts w:hint="eastAsia" w:ascii="宋体" w:hAnsi="宋体" w:eastAsia="宋体" w:cs="宋体"/>
                <w:szCs w:val="21"/>
              </w:rPr>
              <w:t>、 C</w:t>
            </w:r>
            <w:r>
              <w:rPr>
                <w:rFonts w:hint="eastAsia" w:ascii="宋体" w:hAnsi="宋体" w:eastAsia="宋体" w:cs="宋体"/>
                <w:szCs w:val="21"/>
                <w:vertAlign w:val="subscript"/>
              </w:rPr>
              <w:t>2</w:t>
            </w:r>
            <w:r>
              <w:rPr>
                <w:rFonts w:hint="eastAsia" w:ascii="宋体" w:hAnsi="宋体" w:eastAsia="宋体" w:cs="宋体"/>
                <w:szCs w:val="21"/>
              </w:rPr>
              <w:t>H</w:t>
            </w:r>
            <w:r>
              <w:rPr>
                <w:rFonts w:hint="eastAsia" w:ascii="宋体" w:hAnsi="宋体" w:eastAsia="宋体" w:cs="宋体"/>
                <w:szCs w:val="21"/>
                <w:vertAlign w:val="subscript"/>
              </w:rPr>
              <w:t>2</w:t>
            </w:r>
            <w:r>
              <w:rPr>
                <w:rFonts w:hint="eastAsia" w:ascii="宋体" w:hAnsi="宋体" w:eastAsia="宋体" w:cs="宋体"/>
                <w:szCs w:val="21"/>
              </w:rPr>
              <w:t>、 C</w:t>
            </w:r>
            <w:r>
              <w:rPr>
                <w:rFonts w:hint="eastAsia" w:ascii="宋体" w:hAnsi="宋体" w:eastAsia="宋体" w:cs="宋体"/>
                <w:szCs w:val="21"/>
                <w:vertAlign w:val="subscript"/>
              </w:rPr>
              <w:t>2</w:t>
            </w:r>
            <w:r>
              <w:rPr>
                <w:rFonts w:hint="eastAsia" w:ascii="宋体" w:hAnsi="宋体" w:eastAsia="宋体" w:cs="宋体"/>
                <w:szCs w:val="21"/>
              </w:rPr>
              <w:t>H</w:t>
            </w:r>
            <w:r>
              <w:rPr>
                <w:rFonts w:hint="eastAsia" w:ascii="宋体" w:hAnsi="宋体" w:eastAsia="宋体" w:cs="宋体"/>
                <w:szCs w:val="21"/>
                <w:vertAlign w:val="subscript"/>
              </w:rPr>
              <w:t>6</w:t>
            </w:r>
            <w:r>
              <w:rPr>
                <w:rFonts w:hint="eastAsia" w:ascii="宋体" w:hAnsi="宋体" w:eastAsia="宋体" w:cs="宋体"/>
                <w:szCs w:val="21"/>
              </w:rPr>
              <w:t>等7种气体组份、总烃、相对增长率及绝对增长速度； 油中微水监测可选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blHeader/>
          <w:jc w:val="center"/>
        </w:trPr>
        <w:tc>
          <w:tcPr>
            <w:tcW w:w="77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7</w:t>
            </w:r>
          </w:p>
        </w:tc>
        <w:tc>
          <w:tcPr>
            <w:tcW w:w="263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分析诊断功能</w:t>
            </w:r>
          </w:p>
        </w:tc>
        <w:tc>
          <w:tcPr>
            <w:tcW w:w="5107" w:type="dxa"/>
            <w:gridSpan w:val="2"/>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通过改良三比值法、大卫三角法对监测数据进行分析、诊断，并提供原始谱图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8</w:t>
            </w:r>
          </w:p>
        </w:tc>
        <w:tc>
          <w:tcPr>
            <w:tcW w:w="263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最小检测周期</w:t>
            </w:r>
          </w:p>
        </w:tc>
        <w:tc>
          <w:tcPr>
            <w:tcW w:w="5107" w:type="dxa"/>
            <w:gridSpan w:val="2"/>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120分钟，可由用户自行设定，默认4小时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9</w:t>
            </w:r>
          </w:p>
        </w:tc>
        <w:tc>
          <w:tcPr>
            <w:tcW w:w="263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取样方式</w:t>
            </w:r>
          </w:p>
        </w:tc>
        <w:tc>
          <w:tcPr>
            <w:tcW w:w="5107" w:type="dxa"/>
            <w:gridSpan w:val="2"/>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循环取样，真实地反映变压器油中气体真实情况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10</w:t>
            </w:r>
          </w:p>
        </w:tc>
        <w:tc>
          <w:tcPr>
            <w:tcW w:w="263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数据存储周期</w:t>
            </w:r>
          </w:p>
        </w:tc>
        <w:tc>
          <w:tcPr>
            <w:tcW w:w="5107" w:type="dxa"/>
            <w:gridSpan w:val="2"/>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 1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11</w:t>
            </w:r>
          </w:p>
        </w:tc>
        <w:tc>
          <w:tcPr>
            <w:tcW w:w="263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配备载气量</w:t>
            </w:r>
          </w:p>
        </w:tc>
        <w:tc>
          <w:tcPr>
            <w:tcW w:w="5107" w:type="dxa"/>
            <w:gridSpan w:val="2"/>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气源发生器（免维护）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12</w:t>
            </w:r>
          </w:p>
        </w:tc>
        <w:tc>
          <w:tcPr>
            <w:tcW w:w="263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监测气体</w:t>
            </w:r>
          </w:p>
        </w:tc>
        <w:tc>
          <w:tcPr>
            <w:tcW w:w="1921"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测量范围</w:t>
            </w:r>
          </w:p>
        </w:tc>
        <w:tc>
          <w:tcPr>
            <w:tcW w:w="3186"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最低检测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633" w:type="dxa"/>
            <w:noWrap w:val="0"/>
            <w:vAlign w:val="center"/>
          </w:tcPr>
          <w:p>
            <w:pPr>
              <w:spacing w:line="360" w:lineRule="auto"/>
              <w:jc w:val="center"/>
              <w:rPr>
                <w:rFonts w:hint="default" w:ascii="宋体" w:hAnsi="宋体" w:eastAsia="宋体" w:cs="宋体"/>
                <w:szCs w:val="21"/>
                <w:lang w:val="en-US" w:eastAsia="zh-CN"/>
              </w:rPr>
            </w:pPr>
            <w:r>
              <w:rPr>
                <w:rFonts w:hint="eastAsia" w:ascii="宋体" w:hAnsi="宋体" w:eastAsia="宋体" w:cs="宋体"/>
                <w:szCs w:val="21"/>
              </w:rPr>
              <w:t>H</w:t>
            </w:r>
            <w:r>
              <w:rPr>
                <w:rFonts w:hint="eastAsia" w:ascii="宋体" w:hAnsi="宋体" w:eastAsia="宋体" w:cs="宋体"/>
                <w:szCs w:val="21"/>
                <w:vertAlign w:val="subscript"/>
              </w:rPr>
              <w:t>2</w:t>
            </w:r>
            <w:r>
              <w:rPr>
                <w:rFonts w:hint="eastAsia" w:ascii="宋体" w:hAnsi="宋体" w:cs="宋体"/>
                <w:szCs w:val="21"/>
                <w:vertAlign w:val="subscript"/>
                <w:lang w:val="en-US" w:eastAsia="zh-CN"/>
              </w:rPr>
              <w:t xml:space="preserve"> </w:t>
            </w:r>
          </w:p>
        </w:tc>
        <w:tc>
          <w:tcPr>
            <w:tcW w:w="1921"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 ～ 2000 ppm</w:t>
            </w:r>
          </w:p>
        </w:tc>
        <w:tc>
          <w:tcPr>
            <w:tcW w:w="3186"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263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CO、 CO</w:t>
            </w:r>
            <w:r>
              <w:rPr>
                <w:rFonts w:hint="eastAsia" w:ascii="宋体" w:hAnsi="宋体" w:eastAsia="宋体" w:cs="宋体"/>
                <w:szCs w:val="21"/>
                <w:vertAlign w:val="subscript"/>
              </w:rPr>
              <w:t>2</w:t>
            </w:r>
          </w:p>
        </w:tc>
        <w:tc>
          <w:tcPr>
            <w:tcW w:w="1921"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 ～ 15000 ppm</w:t>
            </w:r>
          </w:p>
        </w:tc>
        <w:tc>
          <w:tcPr>
            <w:tcW w:w="3186"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5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263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CH</w:t>
            </w:r>
            <w:r>
              <w:rPr>
                <w:rFonts w:hint="eastAsia" w:ascii="宋体" w:hAnsi="宋体" w:eastAsia="宋体" w:cs="宋体"/>
                <w:szCs w:val="21"/>
                <w:vertAlign w:val="subscript"/>
              </w:rPr>
              <w:t>4</w:t>
            </w:r>
          </w:p>
        </w:tc>
        <w:tc>
          <w:tcPr>
            <w:tcW w:w="1921"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0.1 ～ 2000 ppm</w:t>
            </w:r>
          </w:p>
        </w:tc>
        <w:tc>
          <w:tcPr>
            <w:tcW w:w="3186"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0.1-0.5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263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C</w:t>
            </w:r>
            <w:r>
              <w:rPr>
                <w:rFonts w:hint="eastAsia" w:ascii="宋体" w:hAnsi="宋体" w:eastAsia="宋体" w:cs="宋体"/>
                <w:szCs w:val="21"/>
                <w:vertAlign w:val="subscript"/>
              </w:rPr>
              <w:t>2</w:t>
            </w:r>
            <w:r>
              <w:rPr>
                <w:rFonts w:hint="eastAsia" w:ascii="宋体" w:hAnsi="宋体" w:eastAsia="宋体" w:cs="宋体"/>
                <w:szCs w:val="21"/>
              </w:rPr>
              <w:t>H</w:t>
            </w:r>
            <w:r>
              <w:rPr>
                <w:rFonts w:hint="eastAsia" w:ascii="宋体" w:hAnsi="宋体" w:eastAsia="宋体" w:cs="宋体"/>
                <w:szCs w:val="21"/>
                <w:vertAlign w:val="subscript"/>
              </w:rPr>
              <w:t>4</w:t>
            </w:r>
          </w:p>
        </w:tc>
        <w:tc>
          <w:tcPr>
            <w:tcW w:w="1921"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0.1 ～ 2000 ppm</w:t>
            </w:r>
          </w:p>
        </w:tc>
        <w:tc>
          <w:tcPr>
            <w:tcW w:w="3186"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0.1-0.5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263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C</w:t>
            </w:r>
            <w:r>
              <w:rPr>
                <w:rFonts w:hint="eastAsia" w:ascii="宋体" w:hAnsi="宋体" w:eastAsia="宋体" w:cs="宋体"/>
                <w:szCs w:val="21"/>
                <w:vertAlign w:val="subscript"/>
              </w:rPr>
              <w:t>2</w:t>
            </w:r>
            <w:r>
              <w:rPr>
                <w:rFonts w:hint="eastAsia" w:ascii="宋体" w:hAnsi="宋体" w:eastAsia="宋体" w:cs="宋体"/>
                <w:szCs w:val="21"/>
              </w:rPr>
              <w:t>H</w:t>
            </w:r>
            <w:r>
              <w:rPr>
                <w:rFonts w:hint="eastAsia" w:ascii="宋体" w:hAnsi="宋体" w:eastAsia="宋体" w:cs="宋体"/>
                <w:szCs w:val="21"/>
                <w:vertAlign w:val="subscript"/>
              </w:rPr>
              <w:t>6</w:t>
            </w:r>
          </w:p>
        </w:tc>
        <w:tc>
          <w:tcPr>
            <w:tcW w:w="1921"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0.1 ～ 2000 ppm</w:t>
            </w:r>
          </w:p>
        </w:tc>
        <w:tc>
          <w:tcPr>
            <w:tcW w:w="3186"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0.1 -0.5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6）</w:t>
            </w:r>
          </w:p>
        </w:tc>
        <w:tc>
          <w:tcPr>
            <w:tcW w:w="263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C</w:t>
            </w:r>
            <w:r>
              <w:rPr>
                <w:rFonts w:hint="eastAsia" w:ascii="宋体" w:hAnsi="宋体" w:eastAsia="宋体" w:cs="宋体"/>
                <w:szCs w:val="21"/>
                <w:vertAlign w:val="subscript"/>
              </w:rPr>
              <w:t>2</w:t>
            </w:r>
            <w:r>
              <w:rPr>
                <w:rFonts w:hint="eastAsia" w:ascii="宋体" w:hAnsi="宋体" w:eastAsia="宋体" w:cs="宋体"/>
                <w:szCs w:val="21"/>
              </w:rPr>
              <w:t>H</w:t>
            </w:r>
            <w:r>
              <w:rPr>
                <w:rFonts w:hint="eastAsia" w:ascii="宋体" w:hAnsi="宋体" w:eastAsia="宋体" w:cs="宋体"/>
                <w:szCs w:val="21"/>
                <w:vertAlign w:val="subscript"/>
              </w:rPr>
              <w:t>2</w:t>
            </w:r>
          </w:p>
        </w:tc>
        <w:tc>
          <w:tcPr>
            <w:tcW w:w="1921"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0.1 ～ 1000 ppm</w:t>
            </w:r>
          </w:p>
        </w:tc>
        <w:tc>
          <w:tcPr>
            <w:tcW w:w="3186"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0.1-0.5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7）</w:t>
            </w:r>
          </w:p>
        </w:tc>
        <w:tc>
          <w:tcPr>
            <w:tcW w:w="263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H</w:t>
            </w:r>
            <w:r>
              <w:rPr>
                <w:rFonts w:hint="eastAsia" w:ascii="宋体" w:hAnsi="宋体" w:eastAsia="宋体" w:cs="宋体"/>
                <w:szCs w:val="21"/>
                <w:vertAlign w:val="subscript"/>
              </w:rPr>
              <w:t>2</w:t>
            </w:r>
            <w:r>
              <w:rPr>
                <w:rFonts w:hint="eastAsia" w:ascii="宋体" w:hAnsi="宋体" w:eastAsia="宋体" w:cs="宋体"/>
                <w:szCs w:val="21"/>
              </w:rPr>
              <w:t>O（可选）</w:t>
            </w:r>
          </w:p>
        </w:tc>
        <w:tc>
          <w:tcPr>
            <w:tcW w:w="5107" w:type="dxa"/>
            <w:gridSpan w:val="2"/>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 ～ 800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8）</w:t>
            </w:r>
          </w:p>
        </w:tc>
        <w:tc>
          <w:tcPr>
            <w:tcW w:w="2633" w:type="dxa"/>
            <w:noWrap w:val="0"/>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rPr>
              <w:t>总烃</w:t>
            </w:r>
            <w:r>
              <w:rPr>
                <w:rFonts w:hint="eastAsia" w:ascii="宋体" w:hAnsi="宋体" w:eastAsia="宋体" w:cs="宋体"/>
                <w:szCs w:val="21"/>
                <w:lang w:eastAsia="zh-CN"/>
              </w:rPr>
              <w:t>（</w:t>
            </w:r>
            <w:r>
              <w:rPr>
                <w:rFonts w:hint="eastAsia" w:ascii="宋体" w:hAnsi="宋体" w:eastAsia="宋体" w:cs="宋体"/>
                <w:szCs w:val="21"/>
                <w:lang w:val="en-US" w:eastAsia="zh-CN"/>
              </w:rPr>
              <w:t>四种烃类气体和</w:t>
            </w:r>
            <w:r>
              <w:rPr>
                <w:rFonts w:hint="eastAsia" w:ascii="宋体" w:hAnsi="宋体" w:eastAsia="宋体" w:cs="宋体"/>
                <w:szCs w:val="21"/>
                <w:lang w:eastAsia="zh-CN"/>
              </w:rPr>
              <w:t>）</w:t>
            </w:r>
          </w:p>
        </w:tc>
        <w:tc>
          <w:tcPr>
            <w:tcW w:w="5107" w:type="dxa"/>
            <w:gridSpan w:val="2"/>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 ～ 8000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13</w:t>
            </w:r>
          </w:p>
        </w:tc>
        <w:tc>
          <w:tcPr>
            <w:tcW w:w="263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稳定性（测量偏差）</w:t>
            </w:r>
          </w:p>
        </w:tc>
        <w:tc>
          <w:tcPr>
            <w:tcW w:w="5107" w:type="dxa"/>
            <w:gridSpan w:val="2"/>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同一试验条件下对同一油样的监测结果偏差不超过 20%（中等浓度）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14</w:t>
            </w:r>
          </w:p>
        </w:tc>
        <w:tc>
          <w:tcPr>
            <w:tcW w:w="263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静电放电抗扰度</w:t>
            </w:r>
          </w:p>
        </w:tc>
        <w:tc>
          <w:tcPr>
            <w:tcW w:w="5107" w:type="dxa"/>
            <w:gridSpan w:val="2"/>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4 级，± 8kV－± 15kV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15</w:t>
            </w:r>
          </w:p>
        </w:tc>
        <w:tc>
          <w:tcPr>
            <w:tcW w:w="263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电快速瞬变脉冲群抗扰度</w:t>
            </w:r>
          </w:p>
        </w:tc>
        <w:tc>
          <w:tcPr>
            <w:tcW w:w="5107" w:type="dxa"/>
            <w:gridSpan w:val="2"/>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4 级，± 4kV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16</w:t>
            </w:r>
          </w:p>
        </w:tc>
        <w:tc>
          <w:tcPr>
            <w:tcW w:w="2633" w:type="dxa"/>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浪涌（冲击）抗扰度</w:t>
            </w:r>
          </w:p>
        </w:tc>
        <w:tc>
          <w:tcPr>
            <w:tcW w:w="5107" w:type="dxa"/>
            <w:gridSpan w:val="2"/>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4 级，± 4kV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3" w:type="dxa"/>
            <w:vMerge w:val="restart"/>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17</w:t>
            </w:r>
          </w:p>
        </w:tc>
        <w:tc>
          <w:tcPr>
            <w:tcW w:w="2633" w:type="dxa"/>
            <w:vMerge w:val="restart"/>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耐地震能力：地震波为正弦波</w:t>
            </w:r>
          </w:p>
          <w:p>
            <w:pPr>
              <w:spacing w:line="360" w:lineRule="auto"/>
              <w:jc w:val="center"/>
              <w:rPr>
                <w:rFonts w:hint="eastAsia" w:ascii="宋体" w:hAnsi="宋体" w:eastAsia="宋体" w:cs="宋体"/>
                <w:szCs w:val="21"/>
              </w:rPr>
            </w:pPr>
            <w:r>
              <w:rPr>
                <w:rFonts w:hint="eastAsia" w:ascii="宋体" w:hAnsi="宋体" w:eastAsia="宋体" w:cs="宋体"/>
                <w:szCs w:val="21"/>
              </w:rPr>
              <w:t>持续时间：三个周波，安全系数 1.67</w:t>
            </w:r>
          </w:p>
        </w:tc>
        <w:tc>
          <w:tcPr>
            <w:tcW w:w="5107" w:type="dxa"/>
            <w:gridSpan w:val="2"/>
            <w:noWrap w:val="0"/>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地震烈度 9 度地区：</w:t>
            </w:r>
          </w:p>
          <w:p>
            <w:pPr>
              <w:spacing w:line="360" w:lineRule="auto"/>
              <w:jc w:val="center"/>
              <w:rPr>
                <w:rFonts w:hint="eastAsia" w:ascii="宋体" w:hAnsi="宋体" w:eastAsia="宋体" w:cs="宋体"/>
                <w:szCs w:val="21"/>
              </w:rPr>
            </w:pPr>
            <w:r>
              <w:rPr>
                <w:rFonts w:hint="eastAsia" w:ascii="宋体" w:hAnsi="宋体" w:eastAsia="宋体" w:cs="宋体"/>
                <w:szCs w:val="21"/>
              </w:rPr>
              <w:t>地面水平加速度 0.4g ，地面垂直加速度 0.2g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3" w:type="dxa"/>
            <w:vMerge w:val="continue"/>
            <w:noWrap w:val="0"/>
            <w:vAlign w:val="center"/>
          </w:tcPr>
          <w:p>
            <w:pPr>
              <w:spacing w:line="360" w:lineRule="auto"/>
              <w:rPr>
                <w:rFonts w:hint="eastAsia" w:ascii="宋体" w:hAnsi="宋体" w:eastAsia="宋体" w:cs="宋体"/>
                <w:szCs w:val="21"/>
              </w:rPr>
            </w:pPr>
          </w:p>
        </w:tc>
        <w:tc>
          <w:tcPr>
            <w:tcW w:w="2633" w:type="dxa"/>
            <w:vMerge w:val="continue"/>
            <w:noWrap w:val="0"/>
            <w:vAlign w:val="center"/>
          </w:tcPr>
          <w:p>
            <w:pPr>
              <w:spacing w:line="360" w:lineRule="auto"/>
              <w:rPr>
                <w:rFonts w:hint="eastAsia" w:ascii="宋体" w:hAnsi="宋体" w:eastAsia="宋体" w:cs="宋体"/>
                <w:szCs w:val="21"/>
              </w:rPr>
            </w:pPr>
          </w:p>
        </w:tc>
        <w:tc>
          <w:tcPr>
            <w:tcW w:w="5107" w:type="dxa"/>
            <w:gridSpan w:val="2"/>
            <w:noWrap w:val="0"/>
            <w:vAlign w:val="center"/>
          </w:tcPr>
          <w:p>
            <w:pPr>
              <w:spacing w:line="360" w:lineRule="auto"/>
              <w:rPr>
                <w:rFonts w:hint="eastAsia" w:ascii="宋体" w:hAnsi="宋体" w:eastAsia="宋体" w:cs="宋体"/>
                <w:szCs w:val="21"/>
              </w:rPr>
            </w:pPr>
            <w:r>
              <w:rPr>
                <w:rFonts w:hint="eastAsia" w:ascii="宋体" w:hAnsi="宋体" w:eastAsia="宋体" w:cs="宋体"/>
                <w:szCs w:val="21"/>
              </w:rPr>
              <w:t>地震烈度 8 度地区：</w:t>
            </w:r>
          </w:p>
          <w:p>
            <w:pPr>
              <w:spacing w:line="360" w:lineRule="auto"/>
              <w:rPr>
                <w:rFonts w:hint="eastAsia" w:ascii="宋体" w:hAnsi="宋体" w:eastAsia="宋体" w:cs="宋体"/>
                <w:szCs w:val="21"/>
              </w:rPr>
            </w:pPr>
            <w:r>
              <w:rPr>
                <w:rFonts w:hint="eastAsia" w:ascii="宋体" w:hAnsi="宋体" w:eastAsia="宋体" w:cs="宋体"/>
                <w:szCs w:val="21"/>
              </w:rPr>
              <w:t>地面水平加速度 0.25g ，地面垂直加速度 0.125g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3" w:type="dxa"/>
            <w:vMerge w:val="continue"/>
            <w:noWrap w:val="0"/>
            <w:vAlign w:val="center"/>
          </w:tcPr>
          <w:p>
            <w:pPr>
              <w:spacing w:line="360" w:lineRule="auto"/>
              <w:rPr>
                <w:rFonts w:hint="eastAsia" w:ascii="宋体" w:hAnsi="宋体" w:eastAsia="宋体" w:cs="宋体"/>
                <w:szCs w:val="21"/>
              </w:rPr>
            </w:pPr>
          </w:p>
        </w:tc>
        <w:tc>
          <w:tcPr>
            <w:tcW w:w="2633" w:type="dxa"/>
            <w:vMerge w:val="continue"/>
            <w:noWrap w:val="0"/>
            <w:vAlign w:val="center"/>
          </w:tcPr>
          <w:p>
            <w:pPr>
              <w:spacing w:line="360" w:lineRule="auto"/>
              <w:rPr>
                <w:rFonts w:hint="eastAsia" w:ascii="宋体" w:hAnsi="宋体" w:eastAsia="宋体" w:cs="宋体"/>
                <w:szCs w:val="21"/>
              </w:rPr>
            </w:pPr>
          </w:p>
        </w:tc>
        <w:tc>
          <w:tcPr>
            <w:tcW w:w="5107" w:type="dxa"/>
            <w:gridSpan w:val="2"/>
            <w:noWrap w:val="0"/>
            <w:vAlign w:val="center"/>
          </w:tcPr>
          <w:p>
            <w:pPr>
              <w:spacing w:line="360" w:lineRule="auto"/>
              <w:rPr>
                <w:rFonts w:hint="eastAsia" w:ascii="宋体" w:hAnsi="宋体" w:eastAsia="宋体" w:cs="宋体"/>
                <w:szCs w:val="21"/>
              </w:rPr>
            </w:pPr>
            <w:r>
              <w:rPr>
                <w:rFonts w:hint="eastAsia" w:ascii="宋体" w:hAnsi="宋体" w:eastAsia="宋体" w:cs="宋体"/>
                <w:szCs w:val="21"/>
              </w:rPr>
              <w:t>地震烈度 7 度地区：</w:t>
            </w:r>
          </w:p>
          <w:p>
            <w:pPr>
              <w:spacing w:line="360" w:lineRule="auto"/>
              <w:rPr>
                <w:rFonts w:hint="eastAsia" w:ascii="宋体" w:hAnsi="宋体" w:eastAsia="宋体" w:cs="宋体"/>
                <w:szCs w:val="21"/>
              </w:rPr>
            </w:pPr>
            <w:r>
              <w:rPr>
                <w:rFonts w:hint="eastAsia" w:ascii="宋体" w:hAnsi="宋体" w:eastAsia="宋体" w:cs="宋体"/>
                <w:szCs w:val="21"/>
              </w:rPr>
              <w:t>地面水平加速度 0.2g ，地面垂直加速度 0.1g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3" w:type="dxa"/>
            <w:noWrap w:val="0"/>
            <w:vAlign w:val="center"/>
          </w:tcPr>
          <w:p>
            <w:pPr>
              <w:spacing w:line="360" w:lineRule="auto"/>
              <w:rPr>
                <w:rFonts w:hint="eastAsia" w:ascii="宋体" w:hAnsi="宋体" w:eastAsia="宋体" w:cs="宋体"/>
                <w:szCs w:val="21"/>
              </w:rPr>
            </w:pPr>
            <w:r>
              <w:rPr>
                <w:rFonts w:hint="eastAsia" w:ascii="宋体" w:hAnsi="宋体" w:eastAsia="宋体" w:cs="宋体"/>
                <w:szCs w:val="21"/>
              </w:rPr>
              <w:t>18</w:t>
            </w:r>
          </w:p>
        </w:tc>
        <w:tc>
          <w:tcPr>
            <w:tcW w:w="2633" w:type="dxa"/>
            <w:noWrap w:val="0"/>
            <w:vAlign w:val="center"/>
          </w:tcPr>
          <w:p>
            <w:pPr>
              <w:spacing w:line="360" w:lineRule="auto"/>
              <w:rPr>
                <w:rFonts w:hint="eastAsia" w:ascii="宋体" w:hAnsi="宋体" w:eastAsia="宋体" w:cs="宋体"/>
                <w:szCs w:val="21"/>
              </w:rPr>
            </w:pPr>
            <w:r>
              <w:rPr>
                <w:rFonts w:hint="eastAsia" w:ascii="宋体" w:hAnsi="宋体" w:eastAsia="宋体" w:cs="宋体"/>
                <w:szCs w:val="21"/>
              </w:rPr>
              <w:t>存储运输极限环境温度</w:t>
            </w:r>
          </w:p>
        </w:tc>
        <w:tc>
          <w:tcPr>
            <w:tcW w:w="5107" w:type="dxa"/>
            <w:gridSpan w:val="2"/>
            <w:noWrap w:val="0"/>
            <w:vAlign w:val="center"/>
          </w:tcPr>
          <w:p>
            <w:pPr>
              <w:spacing w:line="360" w:lineRule="auto"/>
              <w:rPr>
                <w:rFonts w:hint="eastAsia" w:ascii="宋体" w:hAnsi="宋体" w:eastAsia="宋体" w:cs="宋体"/>
                <w:szCs w:val="21"/>
              </w:rPr>
            </w:pPr>
            <w:r>
              <w:rPr>
                <w:rFonts w:hint="eastAsia" w:ascii="宋体" w:hAnsi="宋体" w:eastAsia="宋体" w:cs="宋体"/>
                <w:szCs w:val="21"/>
              </w:rPr>
              <w:t>-40 ℃～80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3" w:type="dxa"/>
            <w:noWrap w:val="0"/>
            <w:vAlign w:val="center"/>
          </w:tcPr>
          <w:p>
            <w:pPr>
              <w:spacing w:line="360" w:lineRule="auto"/>
              <w:rPr>
                <w:rFonts w:hint="eastAsia" w:ascii="宋体" w:hAnsi="宋体" w:eastAsia="宋体" w:cs="宋体"/>
                <w:szCs w:val="21"/>
              </w:rPr>
            </w:pPr>
            <w:r>
              <w:rPr>
                <w:rFonts w:hint="eastAsia" w:ascii="宋体" w:hAnsi="宋体" w:eastAsia="宋体" w:cs="宋体"/>
                <w:szCs w:val="21"/>
              </w:rPr>
              <w:t>19</w:t>
            </w:r>
          </w:p>
        </w:tc>
        <w:tc>
          <w:tcPr>
            <w:tcW w:w="2633" w:type="dxa"/>
            <w:noWrap w:val="0"/>
            <w:vAlign w:val="center"/>
          </w:tcPr>
          <w:p>
            <w:pPr>
              <w:spacing w:line="360" w:lineRule="auto"/>
              <w:rPr>
                <w:rFonts w:hint="eastAsia" w:ascii="宋体" w:hAnsi="宋体" w:eastAsia="宋体" w:cs="宋体"/>
                <w:szCs w:val="21"/>
              </w:rPr>
            </w:pPr>
            <w:r>
              <w:rPr>
                <w:rFonts w:hint="eastAsia" w:ascii="宋体" w:hAnsi="宋体" w:eastAsia="宋体" w:cs="宋体"/>
                <w:szCs w:val="21"/>
              </w:rPr>
              <w:t>外壳的防护性能</w:t>
            </w:r>
          </w:p>
        </w:tc>
        <w:tc>
          <w:tcPr>
            <w:tcW w:w="5107" w:type="dxa"/>
            <w:gridSpan w:val="2"/>
            <w:noWrap w:val="0"/>
            <w:vAlign w:val="center"/>
          </w:tcPr>
          <w:p>
            <w:pPr>
              <w:spacing w:line="360" w:lineRule="auto"/>
              <w:rPr>
                <w:rFonts w:hint="eastAsia" w:ascii="宋体" w:hAnsi="宋体" w:eastAsia="宋体" w:cs="宋体"/>
                <w:szCs w:val="21"/>
              </w:rPr>
            </w:pPr>
            <w:r>
              <w:rPr>
                <w:rFonts w:hint="eastAsia" w:ascii="宋体" w:hAnsi="宋体" w:eastAsia="宋体" w:cs="宋体"/>
                <w:szCs w:val="21"/>
              </w:rPr>
              <w:t>IP55</w:t>
            </w:r>
          </w:p>
        </w:tc>
      </w:tr>
    </w:tbl>
    <w:p>
      <w:pPr>
        <w:rPr>
          <w:rFonts w:hint="default"/>
          <w:lang w:val="en-US" w:eastAsia="zh-CN"/>
        </w:rPr>
      </w:pPr>
    </w:p>
    <w:p>
      <w:pPr>
        <w:pStyle w:val="5"/>
        <w:bidi w:val="0"/>
        <w:rPr>
          <w:rFonts w:hint="eastAsia"/>
        </w:rPr>
      </w:pPr>
      <w:bookmarkStart w:id="32" w:name="_Toc393354414"/>
      <w:bookmarkStart w:id="33" w:name="_Toc20186"/>
      <w:r>
        <w:rPr>
          <w:rFonts w:hint="eastAsia"/>
        </w:rPr>
        <w:t>3.</w:t>
      </w:r>
      <w:bookmarkEnd w:id="32"/>
      <w:r>
        <w:rPr>
          <w:rFonts w:hint="eastAsia"/>
          <w:lang w:val="en-US" w:eastAsia="zh-CN"/>
        </w:rPr>
        <w:t>2</w:t>
      </w:r>
      <w:r>
        <w:rPr>
          <w:rFonts w:hint="eastAsia"/>
        </w:rPr>
        <w:t>循技术标准</w:t>
      </w:r>
      <w:bookmarkEnd w:id="33"/>
    </w:p>
    <w:p>
      <w:pPr>
        <w:spacing w:line="360" w:lineRule="auto"/>
        <w:rPr>
          <w:rFonts w:hint="eastAsia"/>
          <w:sz w:val="24"/>
        </w:rPr>
      </w:pPr>
      <w:r>
        <w:rPr>
          <w:rFonts w:hint="eastAsia"/>
          <w:sz w:val="24"/>
        </w:rPr>
        <w:t>1、《Q/GDW 540.1 变电设备在线监测装置检验规范 第1部分：通用技术规范》</w:t>
      </w:r>
    </w:p>
    <w:p>
      <w:pPr>
        <w:spacing w:line="360" w:lineRule="auto"/>
        <w:rPr>
          <w:rFonts w:hint="eastAsia"/>
        </w:rPr>
      </w:pPr>
      <w:r>
        <w:rPr>
          <w:rFonts w:hint="eastAsia"/>
          <w:sz w:val="24"/>
        </w:rPr>
        <w:t>2、《Q/GDW 540.2 变电设备在线监测装置检验规范 第2部分：变压器油中溶解气体在线监测装置》</w:t>
      </w:r>
      <w:bookmarkStart w:id="34" w:name="_Toc393354415"/>
      <w:bookmarkStart w:id="35" w:name="_Toc535"/>
    </w:p>
    <w:p>
      <w:pPr>
        <w:pStyle w:val="4"/>
        <w:rPr>
          <w:rFonts w:hint="eastAsia"/>
        </w:rPr>
      </w:pPr>
    </w:p>
    <w:p>
      <w:pPr>
        <w:pStyle w:val="4"/>
        <w:rPr>
          <w:rFonts w:hint="eastAsia"/>
        </w:rPr>
      </w:pPr>
    </w:p>
    <w:p>
      <w:pPr>
        <w:pStyle w:val="4"/>
        <w:rPr>
          <w:rFonts w:hint="eastAsia"/>
        </w:rPr>
      </w:pPr>
    </w:p>
    <w:p>
      <w:pPr>
        <w:pStyle w:val="4"/>
      </w:pPr>
      <w:r>
        <w:rPr>
          <w:rFonts w:hint="eastAsia"/>
        </w:rPr>
        <w:t>4. 硬件结构</w:t>
      </w:r>
      <w:bookmarkEnd w:id="34"/>
      <w:bookmarkEnd w:id="35"/>
    </w:p>
    <w:p>
      <w:pPr>
        <w:pStyle w:val="5"/>
        <w:bidi w:val="0"/>
        <w:rPr>
          <w:rFonts w:hint="eastAsia"/>
          <w:lang w:val="en-US" w:eastAsia="zh-CN"/>
        </w:rPr>
      </w:pPr>
      <w:bookmarkStart w:id="36" w:name="_Toc26356"/>
      <w:r>
        <w:rPr>
          <w:rFonts w:hint="eastAsia"/>
          <w:lang w:val="en-US" w:eastAsia="zh-CN"/>
        </w:rPr>
        <w:t>4.1装置外观</w:t>
      </w:r>
      <w:bookmarkEnd w:id="36"/>
    </w:p>
    <w:p>
      <w:pPr>
        <w:rPr>
          <w:rFonts w:hint="eastAsia"/>
          <w:lang w:val="en-US" w:eastAsia="zh-CN"/>
        </w:rPr>
      </w:pPr>
    </w:p>
    <w:p>
      <w:pPr>
        <w:rPr>
          <w:rFonts w:hint="default"/>
          <w:lang w:val="en-US" w:eastAsia="zh-CN"/>
        </w:rPr>
      </w:pPr>
      <w:r>
        <w:rPr>
          <w:rFonts w:hint="eastAsia"/>
          <w:lang w:val="en-US" w:eastAsia="zh-CN"/>
        </w:rPr>
        <w:t xml:space="preserve">                                            </w:t>
      </w:r>
    </w:p>
    <w:p>
      <w:pPr>
        <w:rPr>
          <w:rFonts w:hint="eastAsia"/>
          <w:lang w:val="en-US" w:eastAsia="zh-CN"/>
        </w:rPr>
      </w:pPr>
    </w:p>
    <w:p>
      <w:pPr>
        <w:jc w:val="left"/>
        <w:rPr>
          <w:rFonts w:hint="default"/>
          <w:lang w:val="en-US" w:eastAsia="zh-CN"/>
        </w:rPr>
      </w:pPr>
      <w:r>
        <w:rPr>
          <w:rFonts w:hint="eastAsia"/>
          <w:lang w:val="en-US" w:eastAsia="zh-CN"/>
        </w:rPr>
        <w:t xml:space="preserve">                    </w:t>
      </w:r>
      <w:r>
        <w:rPr>
          <w:rFonts w:hint="default"/>
          <w:lang w:val="en-US" w:eastAsia="zh-CN"/>
        </w:rPr>
        <w:drawing>
          <wp:inline distT="0" distB="0" distL="114300" distR="114300">
            <wp:extent cx="2630170" cy="3955415"/>
            <wp:effectExtent l="0" t="0" r="6350" b="6985"/>
            <wp:docPr id="3" name="图片 3" descr="C:\Users\1\Desktop\微信图片_20220913110621.jpg微信图片_20220913110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1\Desktop\微信图片_20220913110621.jpg微信图片_20220913110621"/>
                    <pic:cNvPicPr>
                      <a:picLocks noChangeAspect="1"/>
                    </pic:cNvPicPr>
                  </pic:nvPicPr>
                  <pic:blipFill>
                    <a:blip r:embed="rId14"/>
                    <a:srcRect/>
                    <a:stretch>
                      <a:fillRect/>
                    </a:stretch>
                  </pic:blipFill>
                  <pic:spPr>
                    <a:xfrm>
                      <a:off x="0" y="0"/>
                      <a:ext cx="2630170" cy="3955415"/>
                    </a:xfrm>
                    <a:prstGeom prst="rect">
                      <a:avLst/>
                    </a:prstGeom>
                  </pic:spPr>
                </pic:pic>
              </a:graphicData>
            </a:graphic>
          </wp:inline>
        </w:drawing>
      </w:r>
    </w:p>
    <w:p>
      <w:pPr>
        <w:jc w:val="center"/>
        <w:rPr>
          <w:rFonts w:hint="eastAsia"/>
          <w:lang w:val="en-US" w:eastAsia="zh-CN"/>
        </w:rPr>
      </w:pPr>
      <w:r>
        <w:rPr>
          <w:rFonts w:hint="eastAsia"/>
          <w:lang w:val="en-US" w:eastAsia="zh-CN"/>
        </w:rPr>
        <w:t>4-1外部前视图</w:t>
      </w:r>
    </w:p>
    <w:p>
      <w:pPr>
        <w:jc w:val="center"/>
        <w:rPr>
          <w:rFonts w:hint="default"/>
          <w:lang w:val="en-US" w:eastAsia="zh-CN"/>
        </w:rPr>
      </w:pPr>
      <w:r>
        <w:rPr>
          <w:rFonts w:hint="default"/>
          <w:lang w:val="en-US" w:eastAsia="zh-CN"/>
        </w:rPr>
        <w:drawing>
          <wp:inline distT="0" distB="0" distL="114300" distR="114300">
            <wp:extent cx="3757930" cy="6680835"/>
            <wp:effectExtent l="0" t="0" r="6350" b="9525"/>
            <wp:docPr id="4" name="图片 4" descr="C:\Users\1\Desktop\微信图片_20220913110741.jpg微信图片_20220913110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1\Desktop\微信图片_20220913110741.jpg微信图片_20220913110741"/>
                    <pic:cNvPicPr>
                      <a:picLocks noChangeAspect="1"/>
                    </pic:cNvPicPr>
                  </pic:nvPicPr>
                  <pic:blipFill>
                    <a:blip r:embed="rId15"/>
                    <a:srcRect/>
                    <a:stretch>
                      <a:fillRect/>
                    </a:stretch>
                  </pic:blipFill>
                  <pic:spPr>
                    <a:xfrm>
                      <a:off x="0" y="0"/>
                      <a:ext cx="3757930" cy="6680835"/>
                    </a:xfrm>
                    <a:prstGeom prst="rect">
                      <a:avLst/>
                    </a:prstGeom>
                  </pic:spPr>
                </pic:pic>
              </a:graphicData>
            </a:graphic>
          </wp:inline>
        </w:drawing>
      </w:r>
    </w:p>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4-2内部后视图</w:t>
      </w:r>
    </w:p>
    <w:p>
      <w:pPr>
        <w:pStyle w:val="5"/>
        <w:bidi w:val="0"/>
        <w:rPr>
          <w:rFonts w:hint="eastAsia"/>
        </w:rPr>
      </w:pPr>
      <w:bookmarkStart w:id="37" w:name="_Toc393354417"/>
      <w:bookmarkStart w:id="38" w:name="_Toc15952"/>
      <w:r>
        <w:rPr>
          <w:rFonts w:hint="eastAsia"/>
        </w:rPr>
        <w:t>4.2 户外柜结构</w:t>
      </w:r>
      <w:bookmarkEnd w:id="37"/>
      <w:bookmarkEnd w:id="38"/>
    </w:p>
    <w:p>
      <w:pPr>
        <w:spacing w:line="360" w:lineRule="auto"/>
        <w:ind w:firstLine="480"/>
        <w:rPr>
          <w:rFonts w:hint="default" w:ascii="宋体" w:hAnsi="宋体" w:eastAsia="宋体" w:cs="宋体"/>
          <w:sz w:val="24"/>
          <w:lang w:val="en-US" w:eastAsia="zh-CN"/>
        </w:rPr>
      </w:pPr>
      <w:r>
        <w:rPr>
          <w:rFonts w:hint="eastAsia" w:ascii="宋体" w:hAnsi="宋体" w:eastAsia="宋体" w:cs="宋体"/>
          <w:sz w:val="24"/>
        </w:rPr>
        <w:t>针对不同的应用场合，户外柜分常规机柜和智能机柜两种类型：采用常规机柜的监测系统仅用于油色谱监测，机柜尺寸：</w:t>
      </w:r>
      <w:r>
        <w:rPr>
          <w:rFonts w:hint="eastAsia" w:ascii="宋体" w:hAnsi="宋体" w:eastAsia="宋体" w:cs="宋体"/>
          <w:color w:val="FF0000"/>
          <w:sz w:val="24"/>
        </w:rPr>
        <w:t>600mm*650mm*1242mm</w:t>
      </w:r>
      <w:r>
        <w:rPr>
          <w:rFonts w:hint="eastAsia" w:ascii="宋体" w:hAnsi="宋体" w:eastAsia="宋体" w:cs="宋体"/>
          <w:sz w:val="24"/>
        </w:rPr>
        <w:t>，如图4-3；采用智能机柜的监测系统用于变压器智能组件，可扩展局放监测、铁心接地电流监测、油温监测等功能，可采用户外柜尺寸为</w:t>
      </w:r>
      <w:r>
        <w:rPr>
          <w:rFonts w:hint="eastAsia" w:ascii="宋体" w:hAnsi="宋体" w:eastAsia="宋体" w:cs="宋体"/>
          <w:color w:val="FF0000"/>
          <w:sz w:val="24"/>
        </w:rPr>
        <w:t>800mm*800mm*1800mm</w:t>
      </w:r>
      <w:r>
        <w:rPr>
          <w:rFonts w:hint="eastAsia" w:ascii="宋体" w:hAnsi="宋体" w:eastAsia="宋体" w:cs="宋体"/>
          <w:sz w:val="24"/>
        </w:rPr>
        <w:t>。</w:t>
      </w:r>
      <w:r>
        <w:drawing>
          <wp:inline distT="0" distB="0" distL="114300" distR="114300">
            <wp:extent cx="2680335" cy="3869690"/>
            <wp:effectExtent l="0" t="0" r="1905" b="127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6"/>
                    <a:srcRect l="7755" t="9782" r="64340" b="18616"/>
                    <a:stretch>
                      <a:fillRect/>
                    </a:stretch>
                  </pic:blipFill>
                  <pic:spPr>
                    <a:xfrm>
                      <a:off x="0" y="0"/>
                      <a:ext cx="2680335" cy="386969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289810" cy="4505960"/>
            <wp:effectExtent l="0" t="0" r="11430" b="508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7"/>
                    <a:srcRect l="47488" t="8958" r="32080" b="20000"/>
                    <a:stretch>
                      <a:fillRect/>
                    </a:stretch>
                  </pic:blipFill>
                  <pic:spPr>
                    <a:xfrm>
                      <a:off x="0" y="0"/>
                      <a:ext cx="2289810" cy="4505960"/>
                    </a:xfrm>
                    <a:prstGeom prst="rect">
                      <a:avLst/>
                    </a:prstGeom>
                    <a:noFill/>
                    <a:ln>
                      <a:noFill/>
                    </a:ln>
                  </pic:spPr>
                </pic:pic>
              </a:graphicData>
            </a:graphic>
          </wp:inline>
        </w:drawing>
      </w:r>
    </w:p>
    <w:p>
      <w:pPr>
        <w:spacing w:line="360" w:lineRule="auto"/>
        <w:ind w:firstLine="1982" w:firstLineChars="826"/>
        <w:rPr>
          <w:rFonts w:hint="default" w:ascii="宋体" w:hAnsi="宋体" w:eastAsia="宋体" w:cs="宋体"/>
          <w:sz w:val="24"/>
          <w:lang w:val="en-US" w:eastAsia="zh-CN"/>
        </w:rPr>
      </w:pPr>
      <w:r>
        <w:rPr>
          <w:rFonts w:hint="eastAsia" w:ascii="宋体" w:hAnsi="宋体" w:cs="宋体"/>
          <w:sz w:val="24"/>
          <w:lang w:val="en-US" w:eastAsia="zh-CN"/>
        </w:rPr>
        <w:t>机柜正面尺寸                机柜侧面尺寸</w:t>
      </w:r>
    </w:p>
    <w:p>
      <w:pPr>
        <w:pStyle w:val="5"/>
        <w:bidi w:val="0"/>
        <w:rPr>
          <w:rFonts w:hint="eastAsia"/>
          <w:lang w:val="en-US" w:eastAsia="zh-CN"/>
        </w:rPr>
      </w:pPr>
      <w:bookmarkStart w:id="39" w:name="_Toc24917"/>
      <w:r>
        <w:rPr>
          <w:rFonts w:hint="eastAsia"/>
          <w:lang w:val="en-US" w:eastAsia="zh-CN"/>
        </w:rPr>
        <w:t>4.3装置安装</w:t>
      </w:r>
      <w:bookmarkEnd w:id="39"/>
      <w:r>
        <w:rPr>
          <w:rFonts w:hint="eastAsia"/>
          <w:lang w:val="en-US" w:eastAsia="zh-CN"/>
        </w:rPr>
        <w:t xml:space="preserve"> </w:t>
      </w:r>
    </w:p>
    <w:p>
      <w:pPr>
        <w:pStyle w:val="6"/>
        <w:bidi w:val="0"/>
        <w:rPr>
          <w:rFonts w:hint="default"/>
          <w:lang w:val="en-US" w:eastAsia="zh-CN"/>
        </w:rPr>
      </w:pPr>
      <w:bookmarkStart w:id="40" w:name="_Toc3113"/>
      <w:r>
        <w:rPr>
          <w:rFonts w:hint="eastAsia"/>
          <w:lang w:val="en-US" w:eastAsia="zh-CN"/>
        </w:rPr>
        <w:t>4.3.1安装注意点</w:t>
      </w:r>
      <w:bookmarkEnd w:id="40"/>
    </w:p>
    <w:p>
      <w:pPr>
        <w:spacing w:line="360" w:lineRule="auto"/>
        <w:outlineLvl w:val="9"/>
        <w:rPr>
          <w:rFonts w:hint="eastAsia"/>
          <w:b/>
          <w:sz w:val="24"/>
        </w:rPr>
      </w:pPr>
      <w:r>
        <w:rPr>
          <w:rFonts w:hint="eastAsia"/>
          <w:b/>
          <w:sz w:val="24"/>
        </w:rPr>
        <w:t>（1）安装位置：</w:t>
      </w:r>
    </w:p>
    <w:p>
      <w:pPr>
        <w:spacing w:line="360" w:lineRule="auto"/>
        <w:ind w:firstLine="480" w:firstLineChars="200"/>
        <w:outlineLvl w:val="9"/>
        <w:rPr>
          <w:sz w:val="24"/>
        </w:rPr>
      </w:pPr>
      <w:r>
        <w:rPr>
          <w:rFonts w:hint="eastAsia"/>
          <w:sz w:val="24"/>
        </w:rPr>
        <w:t>推荐选择变压器不同方位如两侧阀门，作为进油口和出油口，消除油样采样死区问题，便于及时检测到变压器故障隐患。户外柜需要就地安装于主变侧，使进（返）油管长度不超过15米。</w:t>
      </w:r>
    </w:p>
    <w:p>
      <w:pPr>
        <w:numPr>
          <w:ilvl w:val="0"/>
          <w:numId w:val="2"/>
        </w:numPr>
        <w:spacing w:line="360" w:lineRule="auto"/>
        <w:outlineLvl w:val="9"/>
        <w:rPr>
          <w:rFonts w:hint="eastAsia"/>
          <w:b/>
          <w:sz w:val="24"/>
        </w:rPr>
      </w:pPr>
      <w:r>
        <w:rPr>
          <w:rFonts w:hint="eastAsia"/>
          <w:b/>
          <w:sz w:val="24"/>
          <w:lang w:val="en-US" w:eastAsia="zh-CN"/>
        </w:rPr>
        <w:t>线</w:t>
      </w:r>
      <w:r>
        <w:rPr>
          <w:rFonts w:hint="eastAsia"/>
          <w:b/>
          <w:sz w:val="24"/>
        </w:rPr>
        <w:t>缆铺设：</w:t>
      </w:r>
    </w:p>
    <w:p>
      <w:pPr>
        <w:spacing w:line="360" w:lineRule="auto"/>
        <w:ind w:firstLine="480" w:firstLineChars="200"/>
        <w:outlineLvl w:val="9"/>
        <w:rPr>
          <w:rFonts w:hint="eastAsia"/>
          <w:sz w:val="24"/>
        </w:rPr>
      </w:pPr>
      <w:r>
        <w:rPr>
          <w:rFonts w:hint="eastAsia"/>
          <w:sz w:val="24"/>
          <w:lang w:val="en-US" w:eastAsia="zh-CN"/>
        </w:rPr>
        <w:t>电缆铺设：</w:t>
      </w:r>
      <w:r>
        <w:rPr>
          <w:rFonts w:hint="eastAsia"/>
          <w:sz w:val="24"/>
        </w:rPr>
        <w:t>在线监测装置现场工作需提供220V /50Hz交流电源（5A以上）一副。</w:t>
      </w:r>
    </w:p>
    <w:p>
      <w:pPr>
        <w:spacing w:line="360" w:lineRule="auto"/>
        <w:ind w:firstLine="480" w:firstLineChars="200"/>
        <w:outlineLvl w:val="9"/>
        <w:rPr>
          <w:rFonts w:hint="eastAsia"/>
          <w:sz w:val="24"/>
        </w:rPr>
      </w:pPr>
      <w:r>
        <w:rPr>
          <w:rFonts w:hint="eastAsia"/>
          <w:sz w:val="24"/>
          <w:lang w:val="en-US" w:eastAsia="zh-CN"/>
        </w:rPr>
        <w:t>通讯电缆：</w:t>
      </w:r>
      <w:r>
        <w:rPr>
          <w:rFonts w:hint="eastAsia"/>
          <w:sz w:val="24"/>
        </w:rPr>
        <w:t>从户外柜至在线监测后台主机需要铺设光纤</w:t>
      </w:r>
      <w:r>
        <w:rPr>
          <w:rFonts w:hint="eastAsia"/>
          <w:sz w:val="24"/>
          <w:lang w:eastAsia="zh-CN"/>
        </w:rPr>
        <w:t>（</w:t>
      </w:r>
      <w:r>
        <w:rPr>
          <w:rFonts w:hint="eastAsia"/>
          <w:sz w:val="24"/>
          <w:lang w:val="en-US" w:eastAsia="zh-CN"/>
        </w:rPr>
        <w:t>通讯距离不超过100米可用超五类网线</w:t>
      </w:r>
      <w:r>
        <w:rPr>
          <w:rFonts w:hint="eastAsia"/>
          <w:sz w:val="24"/>
          <w:lang w:eastAsia="zh-CN"/>
        </w:rPr>
        <w:t>）</w:t>
      </w:r>
      <w:r>
        <w:rPr>
          <w:rFonts w:hint="eastAsia"/>
          <w:sz w:val="24"/>
        </w:rPr>
        <w:t>。</w:t>
      </w:r>
    </w:p>
    <w:p>
      <w:pPr>
        <w:numPr>
          <w:ilvl w:val="0"/>
          <w:numId w:val="2"/>
        </w:numPr>
        <w:spacing w:line="360" w:lineRule="auto"/>
        <w:ind w:left="0" w:leftChars="0" w:firstLine="0" w:firstLineChars="0"/>
        <w:outlineLvl w:val="9"/>
        <w:rPr>
          <w:rFonts w:hint="eastAsia"/>
          <w:b/>
          <w:bCs/>
          <w:sz w:val="24"/>
          <w:lang w:val="en-US" w:eastAsia="zh-CN"/>
        </w:rPr>
      </w:pPr>
      <w:r>
        <w:rPr>
          <w:rFonts w:hint="eastAsia"/>
          <w:b/>
          <w:bCs/>
          <w:sz w:val="24"/>
          <w:lang w:val="en-US" w:eastAsia="zh-CN"/>
        </w:rPr>
        <w:t>底座制作</w:t>
      </w:r>
    </w:p>
    <w:p>
      <w:pPr>
        <w:pStyle w:val="22"/>
        <w:adjustRightInd w:val="0"/>
        <w:snapToGrid w:val="0"/>
        <w:spacing w:before="0" w:beforeAutospacing="0" w:after="0" w:afterAutospacing="0" w:line="360" w:lineRule="auto"/>
        <w:ind w:firstLine="480" w:firstLineChars="200"/>
        <w:rPr>
          <w:rStyle w:val="23"/>
          <w:rFonts w:ascii="宋体" w:hAnsi="宋体"/>
          <w:kern w:val="2"/>
        </w:rPr>
      </w:pPr>
      <w:r>
        <w:rPr>
          <w:rStyle w:val="23"/>
          <w:rFonts w:hint="eastAsia" w:ascii="宋体" w:hAnsi="宋体"/>
          <w:kern w:val="2"/>
          <w:lang w:eastAsia="zh-CN"/>
        </w:rPr>
        <w:t>（</w:t>
      </w:r>
      <w:r>
        <w:rPr>
          <w:rStyle w:val="23"/>
          <w:rFonts w:hint="eastAsia" w:ascii="宋体" w:hAnsi="宋体"/>
          <w:kern w:val="2"/>
        </w:rPr>
        <w:t>1）屏柜底座基础挖深土方500mm,基垫层400mm,基础外径尺寸770mm（宽）x7500mm（深）,内径尺寸470mm（宽）x420mm（深）。</w:t>
      </w:r>
    </w:p>
    <w:p>
      <w:pPr>
        <w:pStyle w:val="22"/>
        <w:adjustRightInd w:val="0"/>
        <w:snapToGrid w:val="0"/>
        <w:spacing w:before="0" w:beforeAutospacing="0" w:after="0" w:afterAutospacing="0" w:line="360" w:lineRule="auto"/>
        <w:ind w:firstLine="480" w:firstLineChars="200"/>
        <w:rPr>
          <w:rStyle w:val="23"/>
          <w:rFonts w:ascii="宋体" w:hAnsi="宋体"/>
          <w:kern w:val="2"/>
        </w:rPr>
      </w:pPr>
      <w:r>
        <w:rPr>
          <w:rStyle w:val="23"/>
          <w:rFonts w:hint="eastAsia" w:ascii="宋体" w:hAnsi="宋体"/>
          <w:kern w:val="2"/>
        </w:rPr>
        <w:t>2）屏柜底座基础垫层使用砂：石=40%：60%配比砂石铺垫，混凝土垫层应密实、平整，厚度符合要求。</w:t>
      </w:r>
    </w:p>
    <w:p>
      <w:pPr>
        <w:pStyle w:val="22"/>
        <w:adjustRightInd w:val="0"/>
        <w:snapToGrid w:val="0"/>
        <w:spacing w:before="0" w:beforeAutospacing="0" w:after="0" w:afterAutospacing="0" w:line="360" w:lineRule="auto"/>
        <w:ind w:firstLine="480" w:firstLineChars="200"/>
        <w:rPr>
          <w:rStyle w:val="23"/>
          <w:rFonts w:ascii="宋体" w:hAnsi="宋体"/>
          <w:kern w:val="2"/>
        </w:rPr>
      </w:pPr>
      <w:r>
        <w:rPr>
          <w:rStyle w:val="23"/>
          <w:rFonts w:hint="eastAsia" w:ascii="宋体" w:hAnsi="宋体"/>
          <w:kern w:val="2"/>
        </w:rPr>
        <w:t>3）屏柜底座基础使用C30混凝土浇筑，使用ф8钢筋连接，钢筋绑扎应符合施工规范及设计要求，墙身钢筋绑扎接头弯钩均应朝混凝土墙板内侧。</w:t>
      </w:r>
    </w:p>
    <w:p>
      <w:pPr>
        <w:pStyle w:val="22"/>
        <w:adjustRightInd w:val="0"/>
        <w:snapToGrid w:val="0"/>
        <w:spacing w:before="0" w:beforeAutospacing="0" w:after="0" w:afterAutospacing="0" w:line="360" w:lineRule="auto"/>
        <w:ind w:firstLine="480" w:firstLineChars="200"/>
        <w:rPr>
          <w:rStyle w:val="23"/>
          <w:rFonts w:ascii="宋体" w:hAnsi="宋体"/>
          <w:kern w:val="2"/>
        </w:rPr>
      </w:pPr>
      <w:r>
        <w:rPr>
          <w:rStyle w:val="23"/>
          <w:rFonts w:hint="eastAsia" w:ascii="宋体" w:hAnsi="宋体"/>
          <w:kern w:val="2"/>
        </w:rPr>
        <w:t>4）混凝土振捣。混凝土进入浇筑地点时在摊铺时不能远距离抛投混凝土，防止混凝土因惯性产生离析，影响混凝土浇捣质量，混凝土铺满后先用插入式振捣捧进行振捣，振点间距不大于200mm，先两边后中间，但也不能过度振捣，不能漏振，但也不能过度振捣会造成混凝土分层分离析，不均匀收缩极易造成混凝土表面龟裂。预埋管线、套管、预留孔洞、预埋件在合模时或砼浇灌前应预先固定反复校核，不得遗漏。</w:t>
      </w:r>
    </w:p>
    <w:p>
      <w:pPr>
        <w:numPr>
          <w:ilvl w:val="0"/>
          <w:numId w:val="0"/>
        </w:numPr>
        <w:spacing w:line="360" w:lineRule="auto"/>
        <w:ind w:leftChars="0"/>
        <w:outlineLvl w:val="9"/>
        <w:rPr>
          <w:rFonts w:hint="default"/>
          <w:sz w:val="24"/>
          <w:lang w:val="en-US" w:eastAsia="zh-CN"/>
        </w:rPr>
      </w:pPr>
    </w:p>
    <w:p>
      <w:pPr>
        <w:spacing w:line="360" w:lineRule="auto"/>
        <w:outlineLvl w:val="9"/>
        <w:rPr>
          <w:rFonts w:hint="eastAsia"/>
          <w:b/>
          <w:sz w:val="24"/>
        </w:rPr>
      </w:pPr>
      <w:r>
        <w:rPr>
          <w:rFonts w:hint="eastAsia"/>
          <w:b/>
          <w:sz w:val="24"/>
        </w:rPr>
        <w:t>（4）油阀安装：</w:t>
      </w:r>
    </w:p>
    <w:p>
      <w:pPr>
        <w:spacing w:line="360" w:lineRule="auto"/>
        <w:ind w:firstLine="480" w:firstLineChars="200"/>
        <w:outlineLvl w:val="9"/>
        <w:rPr>
          <w:rFonts w:hint="eastAsia"/>
          <w:sz w:val="24"/>
        </w:rPr>
      </w:pPr>
      <w:r>
        <w:rPr>
          <w:rFonts w:hint="eastAsia"/>
          <w:sz w:val="24"/>
        </w:rPr>
        <w:t>采用定制法兰盘组件与变压器阀门对接，装置与法兰盘组件之间采用不锈钢管道连接，实现进油和回油。安装取油回油阀时，先旋下取油回油口螺帽，更换新的耐油密封圈，按照取油样的方法，用一空桶或其他容器接废油，旋松取油嘴，让油样从取油口流出，流量调至适中，迅速旋上接口阀直至压紧密封圈。接口阀如图4-7所示。</w:t>
      </w:r>
    </w:p>
    <w:p>
      <w:pPr>
        <w:spacing w:line="360" w:lineRule="auto"/>
        <w:ind w:firstLine="411" w:firstLineChars="196"/>
        <w:outlineLvl w:val="9"/>
        <w:rPr>
          <w:rFonts w:hint="eastAsia"/>
          <w:color w:val="FF0000"/>
          <w:szCs w:val="21"/>
        </w:rPr>
      </w:pPr>
      <w:r>
        <w:rPr>
          <w:rFonts w:hint="eastAsia"/>
          <w:color w:val="FF0000"/>
          <w:szCs w:val="21"/>
        </w:rPr>
        <w:t>【注】：</w:t>
      </w:r>
    </w:p>
    <w:p>
      <w:pPr>
        <w:numPr>
          <w:ilvl w:val="0"/>
          <w:numId w:val="3"/>
        </w:numPr>
        <w:spacing w:line="360" w:lineRule="auto"/>
        <w:outlineLvl w:val="9"/>
        <w:rPr>
          <w:rFonts w:hint="eastAsia"/>
          <w:color w:val="FF0000"/>
          <w:szCs w:val="21"/>
        </w:rPr>
      </w:pPr>
      <w:r>
        <w:rPr>
          <w:rFonts w:hint="eastAsia"/>
          <w:color w:val="FF0000"/>
          <w:szCs w:val="21"/>
        </w:rPr>
        <w:t>油阀结构及尺寸、高度需要施工前确定，定制加工。</w:t>
      </w:r>
    </w:p>
    <w:p>
      <w:pPr>
        <w:numPr>
          <w:ilvl w:val="0"/>
          <w:numId w:val="3"/>
        </w:numPr>
        <w:spacing w:line="360" w:lineRule="auto"/>
        <w:outlineLvl w:val="9"/>
        <w:rPr>
          <w:rFonts w:hint="eastAsia"/>
          <w:color w:val="FF0000"/>
          <w:szCs w:val="21"/>
        </w:rPr>
      </w:pPr>
      <w:r>
        <w:rPr>
          <w:rFonts w:hint="eastAsia"/>
          <w:color w:val="FF0000"/>
          <w:szCs w:val="21"/>
        </w:rPr>
        <w:t>不推荐采用变压器冷却管道或压力管道处的阀门作为取油口（回油口）。</w:t>
      </w:r>
    </w:p>
    <w:p>
      <w:pPr>
        <w:numPr>
          <w:ilvl w:val="0"/>
          <w:numId w:val="3"/>
        </w:numPr>
        <w:spacing w:line="360" w:lineRule="auto"/>
        <w:outlineLvl w:val="9"/>
        <w:rPr>
          <w:color w:val="FF0000"/>
          <w:szCs w:val="21"/>
        </w:rPr>
      </w:pPr>
      <w:r>
        <w:rPr>
          <w:rFonts w:hint="eastAsia"/>
          <w:color w:val="FF0000"/>
          <w:szCs w:val="21"/>
        </w:rPr>
        <w:t>不推荐取油口与回油口共用阀门。</w:t>
      </w:r>
    </w:p>
    <w:p>
      <w:pPr>
        <w:spacing w:line="360" w:lineRule="auto"/>
        <w:outlineLvl w:val="9"/>
        <w:rPr>
          <w:rFonts w:hint="eastAsia"/>
          <w:b/>
          <w:sz w:val="24"/>
        </w:rPr>
      </w:pPr>
      <w:r>
        <w:rPr>
          <w:rFonts w:hint="eastAsia"/>
          <w:b/>
          <w:sz w:val="24"/>
        </w:rPr>
        <w:t>（5）油管铺设：</w:t>
      </w:r>
    </w:p>
    <w:p>
      <w:pPr>
        <w:spacing w:line="360" w:lineRule="auto"/>
        <w:ind w:firstLine="480" w:firstLineChars="200"/>
        <w:outlineLvl w:val="9"/>
        <w:rPr>
          <w:rFonts w:hint="eastAsia"/>
          <w:sz w:val="24"/>
        </w:rPr>
      </w:pPr>
      <w:r>
        <w:rPr>
          <w:rFonts w:hint="eastAsia"/>
          <w:sz w:val="24"/>
        </w:rPr>
        <w:t>按照确定的取油回油管走向，将变压器本体底层油池内的鹅卵石清理出能埋入φ50 防护管的通道，铺入所需防护管。防护管建议采用φ50 镀锌钢管，内部可再用铝塑套管保护，靠近变压器侧应有800mm 左右直角延伸（朝向油口）。</w:t>
      </w:r>
    </w:p>
    <w:p>
      <w:pPr>
        <w:spacing w:line="360" w:lineRule="auto"/>
        <w:ind w:firstLine="480" w:firstLineChars="200"/>
        <w:outlineLvl w:val="9"/>
        <w:rPr>
          <w:rFonts w:hint="eastAsia"/>
          <w:sz w:val="24"/>
        </w:rPr>
      </w:pPr>
      <w:r>
        <w:rPr>
          <w:rFonts w:hint="eastAsia"/>
          <w:sz w:val="24"/>
        </w:rPr>
        <w:t>铺设油管时，首先给油管加穿发泡保温管；再将已加装保温管的油管穿入防护管，按预铺防护管的走向铺设油管；最后，将取油回油接口阀上预留口与已铺设油管对接。</w:t>
      </w:r>
    </w:p>
    <w:p>
      <w:pPr>
        <w:spacing w:line="360" w:lineRule="auto"/>
        <w:ind w:firstLine="480" w:firstLineChars="200"/>
        <w:outlineLvl w:val="9"/>
        <w:rPr>
          <w:rFonts w:hint="eastAsia"/>
          <w:sz w:val="24"/>
        </w:rPr>
      </w:pPr>
      <w:r>
        <w:rPr>
          <w:rFonts w:hint="eastAsia"/>
          <w:sz w:val="24"/>
        </w:rPr>
        <w:t>铺设完成后，为防止在油管加穿发泡保温管时杂物进入油管，应进行取油回油管充放油操作：</w:t>
      </w:r>
    </w:p>
    <w:p>
      <w:pPr>
        <w:numPr>
          <w:ilvl w:val="0"/>
          <w:numId w:val="4"/>
        </w:numPr>
        <w:spacing w:line="360" w:lineRule="auto"/>
        <w:outlineLvl w:val="9"/>
        <w:rPr>
          <w:rFonts w:hint="eastAsia"/>
          <w:sz w:val="24"/>
        </w:rPr>
      </w:pPr>
      <w:r>
        <w:rPr>
          <w:rFonts w:hint="eastAsia"/>
          <w:sz w:val="24"/>
        </w:rPr>
        <w:t>逆时针旋松接口阀侧面放油螺栓；</w:t>
      </w:r>
    </w:p>
    <w:p>
      <w:pPr>
        <w:numPr>
          <w:ilvl w:val="0"/>
          <w:numId w:val="4"/>
        </w:numPr>
        <w:spacing w:line="360" w:lineRule="auto"/>
        <w:outlineLvl w:val="9"/>
        <w:rPr>
          <w:rFonts w:hint="eastAsia"/>
          <w:sz w:val="24"/>
        </w:rPr>
      </w:pPr>
      <w:r>
        <w:rPr>
          <w:rFonts w:hint="eastAsia"/>
          <w:sz w:val="24"/>
        </w:rPr>
        <w:t>让油样较快地从油管流出，直至流出的油样无气泡时马上与色谱数据采集装置进出油管接口对接。</w:t>
      </w:r>
    </w:p>
    <w:p>
      <w:pPr>
        <w:spacing w:line="360" w:lineRule="auto"/>
        <w:outlineLvl w:val="9"/>
        <w:rPr>
          <w:rFonts w:hint="eastAsia"/>
          <w:b/>
          <w:sz w:val="24"/>
        </w:rPr>
      </w:pPr>
      <w:r>
        <w:rPr>
          <w:rFonts w:hint="eastAsia"/>
          <w:b/>
          <w:sz w:val="24"/>
        </w:rPr>
        <w:t>（6）油路检漏：</w:t>
      </w:r>
    </w:p>
    <w:p>
      <w:pPr>
        <w:spacing w:line="360" w:lineRule="auto"/>
        <w:ind w:firstLine="480" w:firstLineChars="200"/>
        <w:outlineLvl w:val="9"/>
        <w:rPr>
          <w:rFonts w:hint="eastAsia"/>
          <w:sz w:val="24"/>
        </w:rPr>
      </w:pPr>
      <w:r>
        <w:rPr>
          <w:rFonts w:hint="eastAsia"/>
          <w:sz w:val="24"/>
        </w:rPr>
        <w:t>取油回油管在完成变压器侧和监测设备安装及油管对接后，用观察油是否渗漏的方法检查油管各连接点是否存在泄漏。</w:t>
      </w:r>
    </w:p>
    <w:p>
      <w:pPr>
        <w:numPr>
          <w:ilvl w:val="0"/>
          <w:numId w:val="5"/>
        </w:numPr>
        <w:spacing w:line="360" w:lineRule="auto"/>
        <w:outlineLvl w:val="9"/>
        <w:rPr>
          <w:rFonts w:hint="eastAsia"/>
          <w:sz w:val="24"/>
        </w:rPr>
      </w:pPr>
      <w:r>
        <w:rPr>
          <w:rFonts w:hint="eastAsia"/>
          <w:sz w:val="24"/>
        </w:rPr>
        <w:t>将变压器和设备所有连接的接口处用布或纸擦干净。</w:t>
      </w:r>
    </w:p>
    <w:p>
      <w:pPr>
        <w:numPr>
          <w:ilvl w:val="0"/>
          <w:numId w:val="5"/>
        </w:numPr>
        <w:spacing w:line="360" w:lineRule="auto"/>
        <w:outlineLvl w:val="9"/>
        <w:rPr>
          <w:rFonts w:hint="eastAsia"/>
          <w:sz w:val="24"/>
        </w:rPr>
      </w:pPr>
      <w:r>
        <w:rPr>
          <w:rFonts w:hint="eastAsia"/>
          <w:sz w:val="24"/>
        </w:rPr>
        <w:t>1小时左右观察，接口处无油迹视作不漏。</w:t>
      </w:r>
    </w:p>
    <w:p>
      <w:pPr>
        <w:outlineLvl w:val="9"/>
        <w:rPr>
          <w:rFonts w:hint="default"/>
          <w:lang w:val="en-US" w:eastAsia="zh-CN"/>
        </w:rPr>
      </w:pPr>
      <w:r>
        <w:rPr>
          <w:rFonts w:hint="eastAsia"/>
          <w:color w:val="FF0000"/>
          <w:szCs w:val="21"/>
        </w:rPr>
        <w:t>【注】：在安装变压器接口阀过程中，不允许有任何杂物进入变压器本体。</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6"/>
        <w:bidi w:val="0"/>
        <w:rPr>
          <w:rFonts w:hint="eastAsia"/>
          <w:lang w:val="en-US" w:eastAsia="zh-CN"/>
        </w:rPr>
      </w:pPr>
      <w:bookmarkStart w:id="41" w:name="_Toc25206"/>
      <w:r>
        <w:rPr>
          <w:rFonts w:hint="eastAsia"/>
          <w:lang w:val="en-US" w:eastAsia="zh-CN"/>
        </w:rPr>
        <w:t>4.3.2安装示意图</w:t>
      </w:r>
      <w:bookmarkEnd w:id="41"/>
    </w:p>
    <w:p>
      <w:pPr>
        <w:rPr>
          <w:rFonts w:hint="eastAsia"/>
          <w:lang w:val="en-US" w:eastAsia="zh-CN"/>
        </w:rPr>
      </w:pPr>
      <w:r>
        <w:object>
          <v:shape id="_x0000_i1030" o:spt="75" type="#_x0000_t75" style="height:344.4pt;width:470.45pt;" o:ole="t" filled="f" o:preferrelative="t" stroked="f" coordsize="21600,21600">
            <v:path/>
            <v:fill on="f" focussize="0,0"/>
            <v:stroke on="f"/>
            <v:imagedata r:id="rId19" o:title=""/>
            <o:lock v:ext="edit" aspectratio="t"/>
            <w10:wrap type="none"/>
            <w10:anchorlock/>
          </v:shape>
          <o:OLEObject Type="Embed" ProgID="AcroExch.Document.DC" ShapeID="_x0000_i1030" DrawAspect="Content" ObjectID="_1468075725" r:id="rId18">
            <o:LockedField>false</o:LockedField>
          </o:OLEObject>
        </w:object>
      </w:r>
      <w:r>
        <w:object>
          <v:shape id="_x0000_i1026" o:spt="75" type="#_x0000_t75" style="height:283.8pt;width:440.8pt;" o:ole="t" filled="f" o:preferrelative="t" stroked="f" coordsize="21600,21600">
            <v:path/>
            <v:fill on="f" focussize="0,0"/>
            <v:stroke on="f"/>
            <v:imagedata r:id="rId21" o:title=""/>
            <o:lock v:ext="edit" aspectratio="t"/>
            <w10:wrap type="none"/>
            <w10:anchorlock/>
          </v:shape>
          <o:OLEObject Type="Embed" ProgID="AcroExch.Document.DC" ShapeID="_x0000_i1026" DrawAspect="Content" ObjectID="_1468075726" r:id="rId20">
            <o:LockedField>false</o:LockedField>
          </o:OLEObject>
        </w:object>
      </w:r>
    </w:p>
    <w:p>
      <w:pPr>
        <w:spacing w:line="360" w:lineRule="auto"/>
        <w:ind w:firstLine="539" w:firstLineChars="257"/>
      </w:pPr>
      <w:bookmarkStart w:id="42" w:name="_Toc393354419"/>
      <w:r>
        <w:object>
          <v:shape id="_x0000_i1031" o:spt="75" type="#_x0000_t75" style="height:285.1pt;width:427.85pt;" o:ole="t" filled="f" o:preferrelative="t" stroked="f" coordsize="21600,21600">
            <v:path/>
            <v:fill on="f" focussize="0,0"/>
            <v:stroke on="f"/>
            <v:imagedata r:id="rId23" o:title=""/>
            <o:lock v:ext="edit" aspectratio="t"/>
            <w10:wrap type="none"/>
            <w10:anchorlock/>
          </v:shape>
          <o:OLEObject Type="Embed" ProgID="AcroExch.Document.DC" ShapeID="_x0000_i1031" DrawAspect="Content" ObjectID="_1468075727" r:id="rId22">
            <o:LockedField>false</o:LockedField>
          </o:OLEObject>
        </w:object>
      </w:r>
      <w:bookmarkEnd w:id="42"/>
      <w:bookmarkStart w:id="177" w:name="_GoBack"/>
      <w:bookmarkEnd w:id="177"/>
    </w:p>
    <w:p>
      <w:pPr>
        <w:jc w:val="center"/>
        <w:rPr>
          <w:rFonts w:hint="default"/>
          <w:sz w:val="24"/>
          <w:lang w:val="en-US" w:eastAsia="zh-CN"/>
        </w:rPr>
      </w:pPr>
    </w:p>
    <w:p>
      <w:pPr>
        <w:jc w:val="center"/>
        <w:rPr>
          <w:rFonts w:hint="default"/>
          <w:sz w:val="24"/>
          <w:lang w:val="en-US" w:eastAsia="zh-CN"/>
        </w:rPr>
      </w:pPr>
    </w:p>
    <w:p>
      <w:pPr>
        <w:jc w:val="center"/>
        <w:rPr>
          <w:rFonts w:hint="default"/>
          <w:sz w:val="24"/>
          <w:lang w:val="en-US" w:eastAsia="zh-CN"/>
        </w:rPr>
      </w:pPr>
    </w:p>
    <w:p>
      <w:pPr>
        <w:jc w:val="center"/>
        <w:rPr>
          <w:rFonts w:hint="default"/>
          <w:sz w:val="24"/>
          <w:lang w:val="en-US" w:eastAsia="zh-CN"/>
        </w:rPr>
      </w:pPr>
    </w:p>
    <w:p>
      <w:pPr>
        <w:jc w:val="center"/>
        <w:rPr>
          <w:rFonts w:hint="default"/>
          <w:sz w:val="24"/>
          <w:lang w:val="en-US" w:eastAsia="zh-CN"/>
        </w:rPr>
      </w:pPr>
    </w:p>
    <w:p>
      <w:pPr>
        <w:jc w:val="center"/>
        <w:rPr>
          <w:rFonts w:hint="default"/>
          <w:sz w:val="24"/>
          <w:lang w:val="en-US" w:eastAsia="zh-CN"/>
        </w:rPr>
      </w:pPr>
    </w:p>
    <w:p>
      <w:pPr>
        <w:jc w:val="center"/>
        <w:rPr>
          <w:rFonts w:hint="default"/>
          <w:sz w:val="24"/>
          <w:lang w:val="en-US" w:eastAsia="zh-CN"/>
        </w:rPr>
      </w:pPr>
    </w:p>
    <w:p>
      <w:pPr>
        <w:jc w:val="center"/>
        <w:rPr>
          <w:rFonts w:hint="default"/>
          <w:sz w:val="24"/>
          <w:lang w:val="en-US" w:eastAsia="zh-CN"/>
        </w:rPr>
      </w:pPr>
    </w:p>
    <w:p>
      <w:pPr>
        <w:jc w:val="center"/>
        <w:rPr>
          <w:rFonts w:hint="default"/>
          <w:sz w:val="24"/>
          <w:lang w:val="en-US" w:eastAsia="zh-CN"/>
        </w:rPr>
      </w:pPr>
    </w:p>
    <w:p>
      <w:pPr>
        <w:jc w:val="center"/>
        <w:rPr>
          <w:rFonts w:hint="default"/>
          <w:sz w:val="24"/>
          <w:lang w:val="en-US" w:eastAsia="zh-CN"/>
        </w:rPr>
      </w:pPr>
    </w:p>
    <w:p>
      <w:pPr>
        <w:pStyle w:val="4"/>
        <w:bidi w:val="0"/>
        <w:rPr>
          <w:rFonts w:hint="eastAsia"/>
        </w:rPr>
      </w:pPr>
      <w:bookmarkStart w:id="43" w:name="_Toc6951"/>
      <w:bookmarkStart w:id="44" w:name="_Toc3109"/>
      <w:bookmarkStart w:id="45" w:name="_Toc11962"/>
      <w:bookmarkStart w:id="46" w:name="_Toc9176"/>
      <w:bookmarkStart w:id="47" w:name="_Toc12903"/>
      <w:bookmarkStart w:id="48" w:name="_Toc13658"/>
      <w:bookmarkStart w:id="49" w:name="_Toc12261"/>
      <w:bookmarkStart w:id="50" w:name="_Toc32279"/>
      <w:bookmarkStart w:id="51" w:name="_Toc9354"/>
      <w:bookmarkStart w:id="52" w:name="_Toc28917"/>
      <w:bookmarkStart w:id="53" w:name="_Toc332359789"/>
      <w:bookmarkStart w:id="54" w:name="_Toc15263"/>
      <w:bookmarkStart w:id="55" w:name="_Toc17034"/>
      <w:bookmarkStart w:id="56" w:name="_Toc19682"/>
      <w:bookmarkStart w:id="57" w:name="_Toc27355"/>
      <w:bookmarkStart w:id="58" w:name="_Toc3267"/>
      <w:bookmarkStart w:id="59" w:name="_Toc31922"/>
      <w:bookmarkStart w:id="60" w:name="_Toc3437"/>
      <w:bookmarkStart w:id="61" w:name="_Toc3539"/>
      <w:bookmarkStart w:id="62" w:name="_Toc29951"/>
      <w:bookmarkStart w:id="63" w:name="_Toc21997"/>
      <w:bookmarkStart w:id="64" w:name="_Toc28533"/>
      <w:bookmarkStart w:id="65" w:name="_Toc21716"/>
      <w:bookmarkStart w:id="66" w:name="_Toc30209"/>
      <w:bookmarkStart w:id="67" w:name="_Toc31489"/>
      <w:bookmarkStart w:id="68" w:name="_Toc5508"/>
      <w:bookmarkStart w:id="69" w:name="_Toc8608"/>
      <w:bookmarkStart w:id="70" w:name="_Toc393354422"/>
      <w:bookmarkStart w:id="71" w:name="_Toc25568"/>
    </w:p>
    <w:p>
      <w:pPr>
        <w:pStyle w:val="4"/>
        <w:bidi w:val="0"/>
        <w:rPr>
          <w:rFonts w:hint="eastAsia"/>
        </w:rPr>
      </w:pPr>
    </w:p>
    <w:p>
      <w:pPr>
        <w:pStyle w:val="4"/>
        <w:bidi w:val="0"/>
        <w:rPr>
          <w:rFonts w:hint="eastAsia"/>
        </w:rPr>
      </w:pPr>
      <w:r>
        <w:rPr>
          <w:rFonts w:hint="eastAsia"/>
        </w:rPr>
        <w:t>附录A：变压器智能组件监测报警值</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hint="eastAsia"/>
        </w:rPr>
        <w:t>参考</w:t>
      </w:r>
      <w:bookmarkEnd w:id="70"/>
      <w:bookmarkEnd w:id="71"/>
    </w:p>
    <w:p>
      <w:pPr>
        <w:pStyle w:val="4"/>
        <w:bidi w:val="0"/>
        <w:rPr>
          <w:rFonts w:hint="eastAsia"/>
        </w:rPr>
      </w:pPr>
      <w:bookmarkStart w:id="72" w:name="_Toc8878"/>
      <w:bookmarkStart w:id="73" w:name="_Toc32452"/>
      <w:bookmarkStart w:id="74" w:name="_Toc4216"/>
      <w:bookmarkStart w:id="75" w:name="_Toc15615"/>
      <w:bookmarkStart w:id="76" w:name="_Toc6725"/>
      <w:bookmarkStart w:id="77" w:name="_Toc26433"/>
      <w:bookmarkStart w:id="78" w:name="_Toc32690"/>
      <w:bookmarkStart w:id="79" w:name="_Toc8231"/>
      <w:bookmarkStart w:id="80" w:name="_Toc7770"/>
      <w:bookmarkStart w:id="81" w:name="_Toc332359790"/>
      <w:bookmarkStart w:id="82" w:name="_Toc14175"/>
      <w:bookmarkStart w:id="83" w:name="_Toc14239"/>
      <w:bookmarkStart w:id="84" w:name="_Toc12901"/>
      <w:bookmarkStart w:id="85" w:name="_Toc21409"/>
      <w:bookmarkStart w:id="86" w:name="_Toc29069"/>
      <w:bookmarkStart w:id="87" w:name="_Toc393354423"/>
      <w:bookmarkStart w:id="88" w:name="_Toc4602"/>
      <w:bookmarkStart w:id="89" w:name="_Toc9523"/>
      <w:bookmarkStart w:id="90" w:name="_Toc14870"/>
      <w:bookmarkStart w:id="91" w:name="_Toc25941"/>
      <w:bookmarkStart w:id="92" w:name="_Toc11288"/>
      <w:bookmarkStart w:id="93" w:name="_Toc30881"/>
      <w:bookmarkStart w:id="94" w:name="_Toc31562"/>
      <w:bookmarkStart w:id="95" w:name="_Toc4984"/>
      <w:bookmarkStart w:id="96" w:name="_Toc8777"/>
      <w:bookmarkStart w:id="97" w:name="_Toc4762"/>
      <w:bookmarkStart w:id="98" w:name="_Toc9867"/>
      <w:bookmarkStart w:id="99" w:name="_Toc27489"/>
      <w:r>
        <w:rPr>
          <w:rFonts w:hint="eastAsia"/>
        </w:rPr>
        <w:t>A.1变压器（电抗器）油中溶解气体报警值</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pStyle w:val="9"/>
        <w:bidi w:val="0"/>
      </w:pPr>
      <w:r>
        <w:rPr>
          <w:rFonts w:hint="eastAsia"/>
        </w:rPr>
        <w:t>报警参数及报警值选取依据说明，分两级分别描述报警信号、报警标准、预防或处置措施。</w:t>
      </w:r>
    </w:p>
    <w:p>
      <w:pPr>
        <w:pStyle w:val="9"/>
        <w:bidi w:val="0"/>
        <w:rPr>
          <w:rFonts w:hint="eastAsia"/>
        </w:rPr>
      </w:pPr>
      <w:r>
        <w:rPr>
          <w:rFonts w:hint="eastAsia"/>
        </w:rPr>
        <w:t xml:space="preserve">表1 变压器（电抗器）油中溶解气体报警参数与报警值汇总表                      </w:t>
      </w:r>
    </w:p>
    <w:tbl>
      <w:tblPr>
        <w:tblStyle w:val="15"/>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2"/>
        <w:gridCol w:w="2414"/>
        <w:gridCol w:w="1450"/>
        <w:gridCol w:w="1175"/>
        <w:gridCol w:w="1117"/>
        <w:gridCol w:w="1049"/>
        <w:gridCol w:w="11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92" w:type="dxa"/>
            <w:noWrap w:val="0"/>
            <w:vAlign w:val="center"/>
          </w:tcPr>
          <w:p>
            <w:pPr>
              <w:pStyle w:val="9"/>
              <w:bidi w:val="0"/>
              <w:rPr>
                <w:rFonts w:hint="eastAsia"/>
              </w:rPr>
            </w:pPr>
            <w:r>
              <w:rPr>
                <w:rFonts w:hint="eastAsia"/>
              </w:rPr>
              <w:t>序号</w:t>
            </w:r>
          </w:p>
        </w:tc>
        <w:tc>
          <w:tcPr>
            <w:tcW w:w="2414" w:type="dxa"/>
            <w:noWrap w:val="0"/>
            <w:vAlign w:val="center"/>
          </w:tcPr>
          <w:p>
            <w:pPr>
              <w:pStyle w:val="9"/>
              <w:bidi w:val="0"/>
              <w:rPr>
                <w:rFonts w:hint="eastAsia"/>
              </w:rPr>
            </w:pPr>
            <w:r>
              <w:rPr>
                <w:rFonts w:hint="eastAsia"/>
              </w:rPr>
              <w:t>报警参数</w:t>
            </w:r>
          </w:p>
        </w:tc>
        <w:tc>
          <w:tcPr>
            <w:tcW w:w="1450" w:type="dxa"/>
            <w:noWrap w:val="0"/>
            <w:vAlign w:val="center"/>
          </w:tcPr>
          <w:p>
            <w:pPr>
              <w:pStyle w:val="9"/>
              <w:bidi w:val="0"/>
              <w:rPr>
                <w:rFonts w:hint="eastAsia"/>
              </w:rPr>
            </w:pPr>
            <w:r>
              <w:rPr>
                <w:rFonts w:hint="eastAsia"/>
              </w:rPr>
              <w:t>电压等级</w:t>
            </w:r>
          </w:p>
        </w:tc>
        <w:tc>
          <w:tcPr>
            <w:tcW w:w="1175" w:type="dxa"/>
            <w:noWrap w:val="0"/>
            <w:vAlign w:val="center"/>
          </w:tcPr>
          <w:p>
            <w:pPr>
              <w:pStyle w:val="9"/>
              <w:bidi w:val="0"/>
              <w:rPr>
                <w:rFonts w:hint="eastAsia"/>
              </w:rPr>
            </w:pPr>
            <w:r>
              <w:rPr>
                <w:rFonts w:hint="eastAsia"/>
              </w:rPr>
              <w:t>油枕结构</w:t>
            </w:r>
          </w:p>
        </w:tc>
        <w:tc>
          <w:tcPr>
            <w:tcW w:w="1117" w:type="dxa"/>
            <w:noWrap w:val="0"/>
            <w:vAlign w:val="center"/>
          </w:tcPr>
          <w:p>
            <w:pPr>
              <w:pStyle w:val="9"/>
              <w:bidi w:val="0"/>
              <w:rPr>
                <w:rFonts w:hint="eastAsia"/>
              </w:rPr>
            </w:pPr>
            <w:r>
              <w:rPr>
                <w:rFonts w:hint="eastAsia"/>
              </w:rPr>
              <w:t>正常范围</w:t>
            </w:r>
          </w:p>
        </w:tc>
        <w:tc>
          <w:tcPr>
            <w:tcW w:w="1049" w:type="dxa"/>
            <w:noWrap w:val="0"/>
            <w:vAlign w:val="center"/>
          </w:tcPr>
          <w:p>
            <w:pPr>
              <w:pStyle w:val="9"/>
              <w:bidi w:val="0"/>
              <w:rPr>
                <w:rFonts w:hint="eastAsia"/>
              </w:rPr>
            </w:pPr>
            <w:r>
              <w:rPr>
                <w:rFonts w:hint="eastAsia"/>
              </w:rPr>
              <w:t>预警值</w:t>
            </w:r>
          </w:p>
        </w:tc>
        <w:tc>
          <w:tcPr>
            <w:tcW w:w="1189" w:type="dxa"/>
            <w:noWrap w:val="0"/>
            <w:vAlign w:val="center"/>
          </w:tcPr>
          <w:p>
            <w:pPr>
              <w:pStyle w:val="9"/>
              <w:bidi w:val="0"/>
              <w:rPr>
                <w:rFonts w:hint="eastAsia"/>
              </w:rPr>
            </w:pPr>
            <w:r>
              <w:rPr>
                <w:rFonts w:hint="eastAsia"/>
              </w:rPr>
              <w:t>报警值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92" w:type="dxa"/>
            <w:noWrap w:val="0"/>
            <w:vAlign w:val="center"/>
          </w:tcPr>
          <w:p>
            <w:pPr>
              <w:pStyle w:val="9"/>
              <w:bidi w:val="0"/>
              <w:rPr>
                <w:rFonts w:hint="eastAsia"/>
              </w:rPr>
            </w:pPr>
            <w:r>
              <w:rPr>
                <w:rFonts w:hint="eastAsia"/>
              </w:rPr>
              <w:t>1</w:t>
            </w:r>
          </w:p>
        </w:tc>
        <w:tc>
          <w:tcPr>
            <w:tcW w:w="2414" w:type="dxa"/>
            <w:noWrap w:val="0"/>
            <w:vAlign w:val="center"/>
          </w:tcPr>
          <w:p>
            <w:pPr>
              <w:pStyle w:val="9"/>
              <w:bidi w:val="0"/>
              <w:rPr>
                <w:rFonts w:hint="eastAsia"/>
              </w:rPr>
            </w:pPr>
            <w:r>
              <w:rPr>
                <w:rFonts w:hint="eastAsia"/>
              </w:rPr>
              <w:t>氢气值（μL/L）</w:t>
            </w:r>
          </w:p>
        </w:tc>
        <w:tc>
          <w:tcPr>
            <w:tcW w:w="1450" w:type="dxa"/>
            <w:noWrap w:val="0"/>
            <w:vAlign w:val="center"/>
          </w:tcPr>
          <w:p>
            <w:pPr>
              <w:pStyle w:val="9"/>
              <w:bidi w:val="0"/>
              <w:rPr>
                <w:rFonts w:hint="eastAsia"/>
              </w:rPr>
            </w:pPr>
            <w:r>
              <w:rPr>
                <w:rFonts w:hint="eastAsia"/>
              </w:rPr>
              <w:t>110kV及以上</w:t>
            </w:r>
          </w:p>
        </w:tc>
        <w:tc>
          <w:tcPr>
            <w:tcW w:w="1175" w:type="dxa"/>
            <w:noWrap w:val="0"/>
            <w:vAlign w:val="center"/>
          </w:tcPr>
          <w:p>
            <w:pPr>
              <w:pStyle w:val="9"/>
              <w:bidi w:val="0"/>
              <w:rPr>
                <w:rFonts w:hint="eastAsia"/>
              </w:rPr>
            </w:pPr>
            <w:r>
              <w:rPr>
                <w:rFonts w:hint="eastAsia"/>
              </w:rPr>
              <w:t>隔膜式</w:t>
            </w:r>
          </w:p>
        </w:tc>
        <w:tc>
          <w:tcPr>
            <w:tcW w:w="1117" w:type="dxa"/>
            <w:noWrap w:val="0"/>
            <w:vAlign w:val="center"/>
          </w:tcPr>
          <w:p>
            <w:pPr>
              <w:pStyle w:val="9"/>
              <w:bidi w:val="0"/>
              <w:rPr>
                <w:rFonts w:hint="eastAsia"/>
              </w:rPr>
            </w:pPr>
            <w:r>
              <w:rPr>
                <w:rFonts w:hint="eastAsia"/>
              </w:rPr>
              <w:t>&lt;120</w:t>
            </w:r>
          </w:p>
        </w:tc>
        <w:tc>
          <w:tcPr>
            <w:tcW w:w="1049" w:type="dxa"/>
            <w:noWrap w:val="0"/>
            <w:vAlign w:val="center"/>
          </w:tcPr>
          <w:p>
            <w:pPr>
              <w:pStyle w:val="9"/>
              <w:bidi w:val="0"/>
              <w:rPr>
                <w:rFonts w:hint="eastAsia"/>
              </w:rPr>
            </w:pPr>
            <w:r>
              <w:rPr>
                <w:rFonts w:hint="eastAsia"/>
              </w:rPr>
              <w:t>120</w:t>
            </w:r>
          </w:p>
        </w:tc>
        <w:tc>
          <w:tcPr>
            <w:tcW w:w="1189" w:type="dxa"/>
            <w:noWrap w:val="0"/>
            <w:vAlign w:val="center"/>
          </w:tcPr>
          <w:p>
            <w:pPr>
              <w:pStyle w:val="9"/>
              <w:bidi w:val="0"/>
              <w:rPr>
                <w:rFonts w:hint="eastAsia"/>
              </w:rPr>
            </w:pPr>
            <w:r>
              <w:rPr>
                <w:rFonts w:hint="eastAsia"/>
              </w:rPr>
              <w:t>&gt;150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92" w:type="dxa"/>
            <w:noWrap w:val="0"/>
            <w:vAlign w:val="center"/>
          </w:tcPr>
          <w:p>
            <w:pPr>
              <w:pStyle w:val="9"/>
              <w:bidi w:val="0"/>
              <w:rPr>
                <w:rFonts w:hint="eastAsia"/>
              </w:rPr>
            </w:pPr>
            <w:r>
              <w:rPr>
                <w:rFonts w:hint="eastAsia"/>
              </w:rPr>
              <w:t>2</w:t>
            </w:r>
          </w:p>
        </w:tc>
        <w:tc>
          <w:tcPr>
            <w:tcW w:w="2414" w:type="dxa"/>
            <w:noWrap w:val="0"/>
            <w:vAlign w:val="center"/>
          </w:tcPr>
          <w:p>
            <w:pPr>
              <w:pStyle w:val="9"/>
              <w:bidi w:val="0"/>
              <w:rPr>
                <w:rFonts w:hint="eastAsia"/>
              </w:rPr>
            </w:pPr>
            <w:r>
              <w:rPr>
                <w:rFonts w:hint="eastAsia"/>
              </w:rPr>
              <w:t>氢气绝对产气速率ml/天</w:t>
            </w:r>
          </w:p>
        </w:tc>
        <w:tc>
          <w:tcPr>
            <w:tcW w:w="1450" w:type="dxa"/>
            <w:noWrap w:val="0"/>
            <w:vAlign w:val="center"/>
          </w:tcPr>
          <w:p>
            <w:pPr>
              <w:pStyle w:val="9"/>
              <w:bidi w:val="0"/>
              <w:rPr>
                <w:rFonts w:hint="eastAsia"/>
              </w:rPr>
            </w:pPr>
            <w:r>
              <w:rPr>
                <w:rFonts w:hint="eastAsia"/>
              </w:rPr>
              <w:t>110kV及以上</w:t>
            </w:r>
          </w:p>
        </w:tc>
        <w:tc>
          <w:tcPr>
            <w:tcW w:w="1175" w:type="dxa"/>
            <w:noWrap w:val="0"/>
            <w:vAlign w:val="center"/>
          </w:tcPr>
          <w:p>
            <w:pPr>
              <w:pStyle w:val="9"/>
              <w:bidi w:val="0"/>
              <w:rPr>
                <w:rFonts w:hint="eastAsia"/>
              </w:rPr>
            </w:pPr>
            <w:r>
              <w:rPr>
                <w:rFonts w:hint="eastAsia"/>
              </w:rPr>
              <w:t>隔膜式</w:t>
            </w:r>
          </w:p>
        </w:tc>
        <w:tc>
          <w:tcPr>
            <w:tcW w:w="1117" w:type="dxa"/>
            <w:noWrap w:val="0"/>
            <w:vAlign w:val="center"/>
          </w:tcPr>
          <w:p>
            <w:pPr>
              <w:pStyle w:val="9"/>
              <w:bidi w:val="0"/>
              <w:rPr>
                <w:rFonts w:hint="eastAsia"/>
              </w:rPr>
            </w:pPr>
            <w:r>
              <w:rPr>
                <w:rFonts w:hint="eastAsia"/>
              </w:rPr>
              <w:t>&lt;3</w:t>
            </w:r>
          </w:p>
        </w:tc>
        <w:tc>
          <w:tcPr>
            <w:tcW w:w="1049" w:type="dxa"/>
            <w:noWrap w:val="0"/>
            <w:vAlign w:val="center"/>
          </w:tcPr>
          <w:p>
            <w:pPr>
              <w:pStyle w:val="9"/>
              <w:bidi w:val="0"/>
              <w:rPr>
                <w:rFonts w:hint="eastAsia"/>
              </w:rPr>
            </w:pPr>
            <w:r>
              <w:rPr>
                <w:rFonts w:hint="eastAsia"/>
              </w:rPr>
              <w:t>3</w:t>
            </w:r>
          </w:p>
        </w:tc>
        <w:tc>
          <w:tcPr>
            <w:tcW w:w="1189" w:type="dxa"/>
            <w:noWrap w:val="0"/>
            <w:vAlign w:val="center"/>
          </w:tcPr>
          <w:p>
            <w:pPr>
              <w:pStyle w:val="9"/>
              <w:bidi w:val="0"/>
              <w:rPr>
                <w:rFonts w:hint="eastAsia"/>
              </w:rPr>
            </w:pPr>
            <w:r>
              <w:rPr>
                <w:rFonts w:hint="eastAsia"/>
              </w:rPr>
              <w:t>&gt;10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92" w:type="dxa"/>
            <w:noWrap w:val="0"/>
            <w:vAlign w:val="center"/>
          </w:tcPr>
          <w:p>
            <w:pPr>
              <w:pStyle w:val="9"/>
              <w:bidi w:val="0"/>
              <w:rPr>
                <w:rFonts w:hint="eastAsia"/>
              </w:rPr>
            </w:pPr>
            <w:r>
              <w:rPr>
                <w:rFonts w:hint="eastAsia"/>
              </w:rPr>
              <w:t>3</w:t>
            </w:r>
          </w:p>
        </w:tc>
        <w:tc>
          <w:tcPr>
            <w:tcW w:w="2414" w:type="dxa"/>
            <w:noWrap w:val="0"/>
            <w:vAlign w:val="center"/>
          </w:tcPr>
          <w:p>
            <w:pPr>
              <w:pStyle w:val="9"/>
              <w:bidi w:val="0"/>
              <w:rPr>
                <w:rFonts w:hint="eastAsia"/>
              </w:rPr>
            </w:pPr>
            <w:r>
              <w:rPr>
                <w:rFonts w:hint="eastAsia"/>
              </w:rPr>
              <w:t>氢气绝对产气速率ml/天</w:t>
            </w:r>
          </w:p>
        </w:tc>
        <w:tc>
          <w:tcPr>
            <w:tcW w:w="1450" w:type="dxa"/>
            <w:noWrap w:val="0"/>
            <w:vAlign w:val="center"/>
          </w:tcPr>
          <w:p>
            <w:pPr>
              <w:pStyle w:val="9"/>
              <w:bidi w:val="0"/>
              <w:rPr>
                <w:rFonts w:hint="eastAsia"/>
              </w:rPr>
            </w:pPr>
            <w:r>
              <w:rPr>
                <w:rFonts w:hint="eastAsia"/>
              </w:rPr>
              <w:t>110kV及以上</w:t>
            </w:r>
          </w:p>
        </w:tc>
        <w:tc>
          <w:tcPr>
            <w:tcW w:w="1175" w:type="dxa"/>
            <w:noWrap w:val="0"/>
            <w:vAlign w:val="center"/>
          </w:tcPr>
          <w:p>
            <w:pPr>
              <w:pStyle w:val="9"/>
              <w:bidi w:val="0"/>
              <w:rPr>
                <w:rFonts w:hint="eastAsia"/>
              </w:rPr>
            </w:pPr>
            <w:r>
              <w:rPr>
                <w:rFonts w:hint="eastAsia"/>
              </w:rPr>
              <w:t>开放式</w:t>
            </w:r>
          </w:p>
        </w:tc>
        <w:tc>
          <w:tcPr>
            <w:tcW w:w="1117" w:type="dxa"/>
            <w:noWrap w:val="0"/>
            <w:vAlign w:val="center"/>
          </w:tcPr>
          <w:p>
            <w:pPr>
              <w:pStyle w:val="9"/>
              <w:bidi w:val="0"/>
              <w:rPr>
                <w:rFonts w:hint="eastAsia"/>
              </w:rPr>
            </w:pPr>
            <w:r>
              <w:rPr>
                <w:rFonts w:hint="eastAsia"/>
              </w:rPr>
              <w:t>&lt;1.5</w:t>
            </w:r>
          </w:p>
        </w:tc>
        <w:tc>
          <w:tcPr>
            <w:tcW w:w="1049" w:type="dxa"/>
            <w:noWrap w:val="0"/>
            <w:vAlign w:val="center"/>
          </w:tcPr>
          <w:p>
            <w:pPr>
              <w:pStyle w:val="9"/>
              <w:bidi w:val="0"/>
              <w:rPr>
                <w:rFonts w:hint="eastAsia"/>
              </w:rPr>
            </w:pPr>
            <w:r>
              <w:rPr>
                <w:rFonts w:hint="eastAsia"/>
              </w:rPr>
              <w:t>1.5</w:t>
            </w:r>
          </w:p>
        </w:tc>
        <w:tc>
          <w:tcPr>
            <w:tcW w:w="1189" w:type="dxa"/>
            <w:noWrap w:val="0"/>
            <w:vAlign w:val="center"/>
          </w:tcPr>
          <w:p>
            <w:pPr>
              <w:pStyle w:val="9"/>
              <w:bidi w:val="0"/>
              <w:rPr>
                <w:rFonts w:hint="eastAsia"/>
              </w:rPr>
            </w:pPr>
            <w:r>
              <w:rPr>
                <w:rFonts w:hint="eastAsia"/>
              </w:rPr>
              <w:t>&gt;5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92" w:type="dxa"/>
            <w:noWrap w:val="0"/>
            <w:vAlign w:val="center"/>
          </w:tcPr>
          <w:p>
            <w:pPr>
              <w:pStyle w:val="9"/>
              <w:bidi w:val="0"/>
              <w:rPr>
                <w:rFonts w:hint="eastAsia"/>
              </w:rPr>
            </w:pPr>
            <w:r>
              <w:rPr>
                <w:rFonts w:hint="eastAsia"/>
              </w:rPr>
              <w:t>4</w:t>
            </w:r>
          </w:p>
        </w:tc>
        <w:tc>
          <w:tcPr>
            <w:tcW w:w="2414" w:type="dxa"/>
            <w:noWrap w:val="0"/>
            <w:vAlign w:val="center"/>
          </w:tcPr>
          <w:p>
            <w:pPr>
              <w:pStyle w:val="9"/>
              <w:bidi w:val="0"/>
              <w:rPr>
                <w:rFonts w:hint="eastAsia"/>
              </w:rPr>
            </w:pPr>
            <w:r>
              <w:rPr>
                <w:rFonts w:hint="eastAsia"/>
              </w:rPr>
              <w:t>氢气相对产气速率(%/月)</w:t>
            </w:r>
          </w:p>
        </w:tc>
        <w:tc>
          <w:tcPr>
            <w:tcW w:w="1450" w:type="dxa"/>
            <w:noWrap w:val="0"/>
            <w:vAlign w:val="center"/>
          </w:tcPr>
          <w:p>
            <w:pPr>
              <w:pStyle w:val="9"/>
              <w:bidi w:val="0"/>
              <w:rPr>
                <w:rFonts w:hint="eastAsia"/>
              </w:rPr>
            </w:pPr>
            <w:r>
              <w:rPr>
                <w:rFonts w:hint="eastAsia"/>
              </w:rPr>
              <w:t>110kV及以上</w:t>
            </w:r>
          </w:p>
        </w:tc>
        <w:tc>
          <w:tcPr>
            <w:tcW w:w="1175" w:type="dxa"/>
            <w:noWrap w:val="0"/>
            <w:vAlign w:val="center"/>
          </w:tcPr>
          <w:p>
            <w:pPr>
              <w:pStyle w:val="9"/>
              <w:bidi w:val="0"/>
              <w:rPr>
                <w:rFonts w:hint="eastAsia"/>
              </w:rPr>
            </w:pPr>
            <w:r>
              <w:rPr>
                <w:rFonts w:hint="eastAsia"/>
              </w:rPr>
              <w:t>隔膜式</w:t>
            </w:r>
          </w:p>
        </w:tc>
        <w:tc>
          <w:tcPr>
            <w:tcW w:w="1117" w:type="dxa"/>
            <w:noWrap w:val="0"/>
            <w:vAlign w:val="center"/>
          </w:tcPr>
          <w:p>
            <w:pPr>
              <w:pStyle w:val="9"/>
              <w:bidi w:val="0"/>
              <w:rPr>
                <w:rFonts w:hint="eastAsia"/>
              </w:rPr>
            </w:pPr>
            <w:r>
              <w:rPr>
                <w:rFonts w:hint="eastAsia"/>
              </w:rPr>
              <w:t>&lt;6</w:t>
            </w:r>
          </w:p>
        </w:tc>
        <w:tc>
          <w:tcPr>
            <w:tcW w:w="1049" w:type="dxa"/>
            <w:noWrap w:val="0"/>
            <w:vAlign w:val="center"/>
          </w:tcPr>
          <w:p>
            <w:pPr>
              <w:pStyle w:val="9"/>
              <w:bidi w:val="0"/>
              <w:rPr>
                <w:rFonts w:hint="eastAsia"/>
              </w:rPr>
            </w:pPr>
            <w:r>
              <w:rPr>
                <w:rFonts w:hint="eastAsia"/>
              </w:rPr>
              <w:t>6</w:t>
            </w:r>
          </w:p>
        </w:tc>
        <w:tc>
          <w:tcPr>
            <w:tcW w:w="1189" w:type="dxa"/>
            <w:noWrap w:val="0"/>
            <w:vAlign w:val="center"/>
          </w:tcPr>
          <w:p>
            <w:pPr>
              <w:pStyle w:val="9"/>
              <w:bidi w:val="0"/>
              <w:rPr>
                <w:rFonts w:hint="eastAsia"/>
              </w:rPr>
            </w:pPr>
            <w:r>
              <w:rPr>
                <w:rFonts w:hint="eastAsia"/>
              </w:rPr>
              <w:t>&gt;10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92" w:type="dxa"/>
            <w:noWrap w:val="0"/>
            <w:vAlign w:val="center"/>
          </w:tcPr>
          <w:p>
            <w:pPr>
              <w:pStyle w:val="9"/>
              <w:bidi w:val="0"/>
              <w:rPr>
                <w:rFonts w:hint="eastAsia"/>
              </w:rPr>
            </w:pPr>
            <w:r>
              <w:rPr>
                <w:rFonts w:hint="eastAsia"/>
              </w:rPr>
              <w:t>5</w:t>
            </w:r>
          </w:p>
        </w:tc>
        <w:tc>
          <w:tcPr>
            <w:tcW w:w="2414" w:type="dxa"/>
            <w:noWrap w:val="0"/>
            <w:vAlign w:val="center"/>
          </w:tcPr>
          <w:p>
            <w:pPr>
              <w:pStyle w:val="9"/>
              <w:bidi w:val="0"/>
              <w:rPr>
                <w:rFonts w:hint="eastAsia"/>
              </w:rPr>
            </w:pPr>
            <w:r>
              <w:rPr>
                <w:rFonts w:hint="eastAsia"/>
              </w:rPr>
              <w:t>乙炔值（μL/L）</w:t>
            </w:r>
          </w:p>
        </w:tc>
        <w:tc>
          <w:tcPr>
            <w:tcW w:w="1450" w:type="dxa"/>
            <w:noWrap w:val="0"/>
            <w:vAlign w:val="center"/>
          </w:tcPr>
          <w:p>
            <w:pPr>
              <w:pStyle w:val="9"/>
              <w:bidi w:val="0"/>
              <w:rPr>
                <w:rFonts w:hint="eastAsia"/>
              </w:rPr>
            </w:pPr>
            <w:r>
              <w:rPr>
                <w:rFonts w:hint="eastAsia"/>
              </w:rPr>
              <w:t>220kV及以上</w:t>
            </w:r>
          </w:p>
        </w:tc>
        <w:tc>
          <w:tcPr>
            <w:tcW w:w="1175" w:type="dxa"/>
            <w:noWrap w:val="0"/>
            <w:vAlign w:val="center"/>
          </w:tcPr>
          <w:p>
            <w:pPr>
              <w:pStyle w:val="9"/>
              <w:bidi w:val="0"/>
              <w:rPr>
                <w:rFonts w:hint="eastAsia"/>
              </w:rPr>
            </w:pPr>
            <w:r>
              <w:rPr>
                <w:rFonts w:hint="eastAsia"/>
              </w:rPr>
              <w:t>隔膜式</w:t>
            </w:r>
          </w:p>
        </w:tc>
        <w:tc>
          <w:tcPr>
            <w:tcW w:w="1117" w:type="dxa"/>
            <w:noWrap w:val="0"/>
            <w:vAlign w:val="center"/>
          </w:tcPr>
          <w:p>
            <w:pPr>
              <w:pStyle w:val="9"/>
              <w:bidi w:val="0"/>
              <w:rPr>
                <w:rFonts w:hint="eastAsia"/>
              </w:rPr>
            </w:pPr>
            <w:r>
              <w:rPr>
                <w:rFonts w:hint="eastAsia"/>
              </w:rPr>
              <w:t>&lt;0.3</w:t>
            </w:r>
          </w:p>
        </w:tc>
        <w:tc>
          <w:tcPr>
            <w:tcW w:w="1049" w:type="dxa"/>
            <w:noWrap w:val="0"/>
            <w:vAlign w:val="center"/>
          </w:tcPr>
          <w:p>
            <w:pPr>
              <w:pStyle w:val="9"/>
              <w:bidi w:val="0"/>
              <w:rPr>
                <w:rFonts w:hint="eastAsia"/>
              </w:rPr>
            </w:pPr>
            <w:r>
              <w:rPr>
                <w:rFonts w:hint="eastAsia"/>
              </w:rPr>
              <w:t>0.3</w:t>
            </w:r>
          </w:p>
        </w:tc>
        <w:tc>
          <w:tcPr>
            <w:tcW w:w="1189" w:type="dxa"/>
            <w:noWrap w:val="0"/>
            <w:vAlign w:val="center"/>
          </w:tcPr>
          <w:p>
            <w:pPr>
              <w:pStyle w:val="9"/>
              <w:bidi w:val="0"/>
              <w:rPr>
                <w:rFonts w:hint="eastAsia"/>
              </w:rPr>
            </w:pPr>
            <w:r>
              <w:rPr>
                <w:rFonts w:hint="eastAsia"/>
              </w:rPr>
              <w:t>&gt;1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92" w:type="dxa"/>
            <w:noWrap w:val="0"/>
            <w:vAlign w:val="center"/>
          </w:tcPr>
          <w:p>
            <w:pPr>
              <w:pStyle w:val="9"/>
              <w:bidi w:val="0"/>
              <w:rPr>
                <w:rFonts w:hint="eastAsia"/>
              </w:rPr>
            </w:pPr>
            <w:r>
              <w:rPr>
                <w:rFonts w:hint="eastAsia"/>
              </w:rPr>
              <w:t>6</w:t>
            </w:r>
          </w:p>
        </w:tc>
        <w:tc>
          <w:tcPr>
            <w:tcW w:w="2414" w:type="dxa"/>
            <w:noWrap w:val="0"/>
            <w:vAlign w:val="center"/>
          </w:tcPr>
          <w:p>
            <w:pPr>
              <w:pStyle w:val="9"/>
              <w:bidi w:val="0"/>
              <w:rPr>
                <w:rFonts w:hint="eastAsia"/>
              </w:rPr>
            </w:pPr>
            <w:r>
              <w:rPr>
                <w:rFonts w:hint="eastAsia"/>
              </w:rPr>
              <w:t>乙炔值（μL/L）</w:t>
            </w:r>
          </w:p>
        </w:tc>
        <w:tc>
          <w:tcPr>
            <w:tcW w:w="1450" w:type="dxa"/>
            <w:noWrap w:val="0"/>
            <w:vAlign w:val="center"/>
          </w:tcPr>
          <w:p>
            <w:pPr>
              <w:pStyle w:val="9"/>
              <w:bidi w:val="0"/>
              <w:rPr>
                <w:rFonts w:hint="eastAsia"/>
              </w:rPr>
            </w:pPr>
            <w:r>
              <w:rPr>
                <w:rFonts w:hint="eastAsia"/>
              </w:rPr>
              <w:t>110kV</w:t>
            </w:r>
          </w:p>
        </w:tc>
        <w:tc>
          <w:tcPr>
            <w:tcW w:w="1175" w:type="dxa"/>
            <w:noWrap w:val="0"/>
            <w:vAlign w:val="center"/>
          </w:tcPr>
          <w:p>
            <w:pPr>
              <w:pStyle w:val="9"/>
              <w:bidi w:val="0"/>
              <w:rPr>
                <w:rFonts w:hint="eastAsia"/>
              </w:rPr>
            </w:pPr>
            <w:r>
              <w:rPr>
                <w:rFonts w:hint="eastAsia"/>
              </w:rPr>
              <w:t>隔膜式</w:t>
            </w:r>
          </w:p>
        </w:tc>
        <w:tc>
          <w:tcPr>
            <w:tcW w:w="1117" w:type="dxa"/>
            <w:noWrap w:val="0"/>
            <w:vAlign w:val="center"/>
          </w:tcPr>
          <w:p>
            <w:pPr>
              <w:pStyle w:val="9"/>
              <w:bidi w:val="0"/>
              <w:rPr>
                <w:rFonts w:hint="eastAsia"/>
              </w:rPr>
            </w:pPr>
            <w:r>
              <w:rPr>
                <w:rFonts w:hint="eastAsia"/>
              </w:rPr>
              <w:t>&lt;1.5</w:t>
            </w:r>
          </w:p>
        </w:tc>
        <w:tc>
          <w:tcPr>
            <w:tcW w:w="1049" w:type="dxa"/>
            <w:noWrap w:val="0"/>
            <w:vAlign w:val="center"/>
          </w:tcPr>
          <w:p>
            <w:pPr>
              <w:pStyle w:val="9"/>
              <w:bidi w:val="0"/>
              <w:rPr>
                <w:rFonts w:hint="eastAsia"/>
              </w:rPr>
            </w:pPr>
            <w:r>
              <w:rPr>
                <w:rFonts w:hint="eastAsia"/>
              </w:rPr>
              <w:t>1.5</w:t>
            </w:r>
          </w:p>
        </w:tc>
        <w:tc>
          <w:tcPr>
            <w:tcW w:w="1189" w:type="dxa"/>
            <w:noWrap w:val="0"/>
            <w:vAlign w:val="center"/>
          </w:tcPr>
          <w:p>
            <w:pPr>
              <w:pStyle w:val="9"/>
              <w:bidi w:val="0"/>
              <w:rPr>
                <w:rFonts w:hint="eastAsia"/>
              </w:rPr>
            </w:pPr>
            <w:r>
              <w:rPr>
                <w:rFonts w:hint="eastAsia"/>
              </w:rPr>
              <w:t>&gt;5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92" w:type="dxa"/>
            <w:noWrap w:val="0"/>
            <w:vAlign w:val="center"/>
          </w:tcPr>
          <w:p>
            <w:pPr>
              <w:pStyle w:val="9"/>
              <w:bidi w:val="0"/>
              <w:rPr>
                <w:rFonts w:hint="eastAsia"/>
              </w:rPr>
            </w:pPr>
            <w:r>
              <w:rPr>
                <w:rFonts w:hint="eastAsia"/>
              </w:rPr>
              <w:t>7</w:t>
            </w:r>
          </w:p>
        </w:tc>
        <w:tc>
          <w:tcPr>
            <w:tcW w:w="2414" w:type="dxa"/>
            <w:noWrap w:val="0"/>
            <w:vAlign w:val="center"/>
          </w:tcPr>
          <w:p>
            <w:pPr>
              <w:pStyle w:val="9"/>
              <w:bidi w:val="0"/>
              <w:rPr>
                <w:rFonts w:hint="eastAsia"/>
              </w:rPr>
            </w:pPr>
            <w:r>
              <w:rPr>
                <w:rFonts w:hint="eastAsia"/>
              </w:rPr>
              <w:t>乙炔绝对产气速率ml/天</w:t>
            </w:r>
          </w:p>
        </w:tc>
        <w:tc>
          <w:tcPr>
            <w:tcW w:w="1450" w:type="dxa"/>
            <w:noWrap w:val="0"/>
            <w:vAlign w:val="center"/>
          </w:tcPr>
          <w:p>
            <w:pPr>
              <w:pStyle w:val="9"/>
              <w:bidi w:val="0"/>
              <w:rPr>
                <w:rFonts w:hint="eastAsia"/>
              </w:rPr>
            </w:pPr>
            <w:r>
              <w:rPr>
                <w:rFonts w:hint="eastAsia"/>
              </w:rPr>
              <w:t>110kV及以上</w:t>
            </w:r>
          </w:p>
        </w:tc>
        <w:tc>
          <w:tcPr>
            <w:tcW w:w="1175" w:type="dxa"/>
            <w:noWrap w:val="0"/>
            <w:vAlign w:val="center"/>
          </w:tcPr>
          <w:p>
            <w:pPr>
              <w:pStyle w:val="9"/>
              <w:bidi w:val="0"/>
              <w:rPr>
                <w:rFonts w:hint="eastAsia"/>
              </w:rPr>
            </w:pPr>
            <w:r>
              <w:rPr>
                <w:rFonts w:hint="eastAsia"/>
              </w:rPr>
              <w:t>隔膜式</w:t>
            </w:r>
          </w:p>
        </w:tc>
        <w:tc>
          <w:tcPr>
            <w:tcW w:w="1117" w:type="dxa"/>
            <w:noWrap w:val="0"/>
            <w:vAlign w:val="center"/>
          </w:tcPr>
          <w:p>
            <w:pPr>
              <w:pStyle w:val="9"/>
              <w:bidi w:val="0"/>
              <w:rPr>
                <w:rFonts w:hint="eastAsia"/>
              </w:rPr>
            </w:pPr>
            <w:r>
              <w:rPr>
                <w:rFonts w:hint="eastAsia"/>
              </w:rPr>
              <w:t>&lt;0.06</w:t>
            </w:r>
          </w:p>
        </w:tc>
        <w:tc>
          <w:tcPr>
            <w:tcW w:w="1049" w:type="dxa"/>
            <w:noWrap w:val="0"/>
            <w:vAlign w:val="center"/>
          </w:tcPr>
          <w:p>
            <w:pPr>
              <w:pStyle w:val="9"/>
              <w:bidi w:val="0"/>
              <w:rPr>
                <w:rFonts w:hint="eastAsia"/>
              </w:rPr>
            </w:pPr>
            <w:r>
              <w:rPr>
                <w:rFonts w:hint="eastAsia"/>
              </w:rPr>
              <w:t>0.06</w:t>
            </w:r>
          </w:p>
        </w:tc>
        <w:tc>
          <w:tcPr>
            <w:tcW w:w="1189" w:type="dxa"/>
            <w:noWrap w:val="0"/>
            <w:vAlign w:val="center"/>
          </w:tcPr>
          <w:p>
            <w:pPr>
              <w:pStyle w:val="9"/>
              <w:bidi w:val="0"/>
              <w:rPr>
                <w:rFonts w:hint="eastAsia"/>
              </w:rPr>
            </w:pPr>
            <w:r>
              <w:rPr>
                <w:rFonts w:hint="eastAsia"/>
              </w:rPr>
              <w:t>&gt;0.2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92" w:type="dxa"/>
            <w:noWrap w:val="0"/>
            <w:vAlign w:val="center"/>
          </w:tcPr>
          <w:p>
            <w:pPr>
              <w:pStyle w:val="9"/>
              <w:bidi w:val="0"/>
              <w:rPr>
                <w:rFonts w:hint="eastAsia"/>
              </w:rPr>
            </w:pPr>
            <w:r>
              <w:rPr>
                <w:rFonts w:hint="eastAsia"/>
              </w:rPr>
              <w:t>8</w:t>
            </w:r>
          </w:p>
        </w:tc>
        <w:tc>
          <w:tcPr>
            <w:tcW w:w="2414" w:type="dxa"/>
            <w:noWrap w:val="0"/>
            <w:vAlign w:val="center"/>
          </w:tcPr>
          <w:p>
            <w:pPr>
              <w:pStyle w:val="9"/>
              <w:bidi w:val="0"/>
              <w:rPr>
                <w:rFonts w:hint="eastAsia"/>
              </w:rPr>
            </w:pPr>
            <w:r>
              <w:rPr>
                <w:rFonts w:hint="eastAsia"/>
              </w:rPr>
              <w:t>乙炔绝对产气速率ml/天</w:t>
            </w:r>
          </w:p>
        </w:tc>
        <w:tc>
          <w:tcPr>
            <w:tcW w:w="1450" w:type="dxa"/>
            <w:noWrap w:val="0"/>
            <w:vAlign w:val="center"/>
          </w:tcPr>
          <w:p>
            <w:pPr>
              <w:pStyle w:val="9"/>
              <w:bidi w:val="0"/>
              <w:rPr>
                <w:rFonts w:hint="eastAsia"/>
              </w:rPr>
            </w:pPr>
            <w:r>
              <w:rPr>
                <w:rFonts w:hint="eastAsia"/>
              </w:rPr>
              <w:t>110kV及以上</w:t>
            </w:r>
          </w:p>
        </w:tc>
        <w:tc>
          <w:tcPr>
            <w:tcW w:w="1175" w:type="dxa"/>
            <w:noWrap w:val="0"/>
            <w:vAlign w:val="center"/>
          </w:tcPr>
          <w:p>
            <w:pPr>
              <w:pStyle w:val="9"/>
              <w:bidi w:val="0"/>
              <w:rPr>
                <w:rFonts w:hint="eastAsia"/>
              </w:rPr>
            </w:pPr>
            <w:r>
              <w:rPr>
                <w:rFonts w:hint="eastAsia"/>
              </w:rPr>
              <w:t>开放式</w:t>
            </w:r>
          </w:p>
        </w:tc>
        <w:tc>
          <w:tcPr>
            <w:tcW w:w="1117" w:type="dxa"/>
            <w:noWrap w:val="0"/>
            <w:vAlign w:val="center"/>
          </w:tcPr>
          <w:p>
            <w:pPr>
              <w:pStyle w:val="9"/>
              <w:bidi w:val="0"/>
              <w:rPr>
                <w:rFonts w:hint="eastAsia"/>
              </w:rPr>
            </w:pPr>
            <w:r>
              <w:rPr>
                <w:rFonts w:hint="eastAsia"/>
              </w:rPr>
              <w:t>&lt;0.03</w:t>
            </w:r>
          </w:p>
        </w:tc>
        <w:tc>
          <w:tcPr>
            <w:tcW w:w="1049" w:type="dxa"/>
            <w:noWrap w:val="0"/>
            <w:vAlign w:val="center"/>
          </w:tcPr>
          <w:p>
            <w:pPr>
              <w:pStyle w:val="9"/>
              <w:bidi w:val="0"/>
              <w:rPr>
                <w:rFonts w:hint="eastAsia"/>
              </w:rPr>
            </w:pPr>
            <w:r>
              <w:rPr>
                <w:rFonts w:hint="eastAsia"/>
              </w:rPr>
              <w:t>0.03</w:t>
            </w:r>
          </w:p>
        </w:tc>
        <w:tc>
          <w:tcPr>
            <w:tcW w:w="1189" w:type="dxa"/>
            <w:noWrap w:val="0"/>
            <w:vAlign w:val="center"/>
          </w:tcPr>
          <w:p>
            <w:pPr>
              <w:pStyle w:val="9"/>
              <w:bidi w:val="0"/>
              <w:rPr>
                <w:rFonts w:hint="eastAsia"/>
              </w:rPr>
            </w:pPr>
            <w:r>
              <w:rPr>
                <w:rFonts w:hint="eastAsia"/>
              </w:rPr>
              <w:t>&gt;0.1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92" w:type="dxa"/>
            <w:noWrap w:val="0"/>
            <w:vAlign w:val="center"/>
          </w:tcPr>
          <w:p>
            <w:pPr>
              <w:pStyle w:val="9"/>
              <w:bidi w:val="0"/>
              <w:rPr>
                <w:rFonts w:hint="eastAsia"/>
              </w:rPr>
            </w:pPr>
            <w:r>
              <w:rPr>
                <w:rFonts w:hint="eastAsia"/>
              </w:rPr>
              <w:t>9</w:t>
            </w:r>
          </w:p>
        </w:tc>
        <w:tc>
          <w:tcPr>
            <w:tcW w:w="2414" w:type="dxa"/>
            <w:noWrap w:val="0"/>
            <w:vAlign w:val="center"/>
          </w:tcPr>
          <w:p>
            <w:pPr>
              <w:pStyle w:val="9"/>
              <w:bidi w:val="0"/>
              <w:rPr>
                <w:rFonts w:hint="eastAsia"/>
              </w:rPr>
            </w:pPr>
            <w:r>
              <w:rPr>
                <w:rFonts w:hint="eastAsia"/>
              </w:rPr>
              <w:t>乙炔相对产气速率(%/月)</w:t>
            </w:r>
          </w:p>
        </w:tc>
        <w:tc>
          <w:tcPr>
            <w:tcW w:w="1450" w:type="dxa"/>
            <w:noWrap w:val="0"/>
            <w:vAlign w:val="center"/>
          </w:tcPr>
          <w:p>
            <w:pPr>
              <w:pStyle w:val="9"/>
              <w:bidi w:val="0"/>
              <w:rPr>
                <w:rFonts w:hint="eastAsia"/>
              </w:rPr>
            </w:pPr>
            <w:r>
              <w:rPr>
                <w:rFonts w:hint="eastAsia"/>
              </w:rPr>
              <w:t>110kV及以上</w:t>
            </w:r>
          </w:p>
        </w:tc>
        <w:tc>
          <w:tcPr>
            <w:tcW w:w="1175" w:type="dxa"/>
            <w:noWrap w:val="0"/>
            <w:vAlign w:val="center"/>
          </w:tcPr>
          <w:p>
            <w:pPr>
              <w:pStyle w:val="9"/>
              <w:bidi w:val="0"/>
              <w:rPr>
                <w:rFonts w:hint="eastAsia"/>
              </w:rPr>
            </w:pPr>
            <w:r>
              <w:rPr>
                <w:rFonts w:hint="eastAsia"/>
              </w:rPr>
              <w:t>隔膜式</w:t>
            </w:r>
          </w:p>
        </w:tc>
        <w:tc>
          <w:tcPr>
            <w:tcW w:w="1117" w:type="dxa"/>
            <w:noWrap w:val="0"/>
            <w:vAlign w:val="center"/>
          </w:tcPr>
          <w:p>
            <w:pPr>
              <w:pStyle w:val="9"/>
              <w:bidi w:val="0"/>
              <w:rPr>
                <w:rFonts w:hint="eastAsia"/>
              </w:rPr>
            </w:pPr>
            <w:r>
              <w:rPr>
                <w:rFonts w:hint="eastAsia"/>
              </w:rPr>
              <w:t>&lt;6</w:t>
            </w:r>
          </w:p>
        </w:tc>
        <w:tc>
          <w:tcPr>
            <w:tcW w:w="1049" w:type="dxa"/>
            <w:noWrap w:val="0"/>
            <w:vAlign w:val="center"/>
          </w:tcPr>
          <w:p>
            <w:pPr>
              <w:pStyle w:val="9"/>
              <w:bidi w:val="0"/>
              <w:rPr>
                <w:rFonts w:hint="eastAsia"/>
              </w:rPr>
            </w:pPr>
            <w:r>
              <w:rPr>
                <w:rFonts w:hint="eastAsia"/>
              </w:rPr>
              <w:t>6</w:t>
            </w:r>
          </w:p>
        </w:tc>
        <w:tc>
          <w:tcPr>
            <w:tcW w:w="1189" w:type="dxa"/>
            <w:noWrap w:val="0"/>
            <w:vAlign w:val="center"/>
          </w:tcPr>
          <w:p>
            <w:pPr>
              <w:pStyle w:val="9"/>
              <w:bidi w:val="0"/>
              <w:rPr>
                <w:rFonts w:hint="eastAsia"/>
              </w:rPr>
            </w:pPr>
            <w:r>
              <w:rPr>
                <w:rFonts w:hint="eastAsia"/>
              </w:rPr>
              <w:t>&gt;10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92" w:type="dxa"/>
            <w:noWrap w:val="0"/>
            <w:vAlign w:val="center"/>
          </w:tcPr>
          <w:p>
            <w:pPr>
              <w:pStyle w:val="9"/>
              <w:bidi w:val="0"/>
              <w:rPr>
                <w:rFonts w:hint="eastAsia"/>
              </w:rPr>
            </w:pPr>
            <w:r>
              <w:rPr>
                <w:rFonts w:hint="eastAsia"/>
              </w:rPr>
              <w:t>10</w:t>
            </w:r>
          </w:p>
        </w:tc>
        <w:tc>
          <w:tcPr>
            <w:tcW w:w="2414" w:type="dxa"/>
            <w:noWrap w:val="0"/>
            <w:vAlign w:val="center"/>
          </w:tcPr>
          <w:p>
            <w:pPr>
              <w:pStyle w:val="9"/>
              <w:bidi w:val="0"/>
              <w:rPr>
                <w:rFonts w:hint="eastAsia"/>
              </w:rPr>
            </w:pPr>
            <w:r>
              <w:rPr>
                <w:rFonts w:hint="eastAsia"/>
              </w:rPr>
              <w:t>总烃值（μL/L）</w:t>
            </w:r>
          </w:p>
        </w:tc>
        <w:tc>
          <w:tcPr>
            <w:tcW w:w="1450" w:type="dxa"/>
            <w:noWrap w:val="0"/>
            <w:vAlign w:val="center"/>
          </w:tcPr>
          <w:p>
            <w:pPr>
              <w:pStyle w:val="9"/>
              <w:bidi w:val="0"/>
              <w:rPr>
                <w:rFonts w:hint="eastAsia"/>
              </w:rPr>
            </w:pPr>
            <w:r>
              <w:rPr>
                <w:rFonts w:hint="eastAsia"/>
              </w:rPr>
              <w:t>110kV及以上</w:t>
            </w:r>
          </w:p>
        </w:tc>
        <w:tc>
          <w:tcPr>
            <w:tcW w:w="1175" w:type="dxa"/>
            <w:noWrap w:val="0"/>
            <w:vAlign w:val="center"/>
          </w:tcPr>
          <w:p>
            <w:pPr>
              <w:pStyle w:val="9"/>
              <w:bidi w:val="0"/>
              <w:rPr>
                <w:rFonts w:hint="eastAsia"/>
              </w:rPr>
            </w:pPr>
            <w:r>
              <w:rPr>
                <w:rFonts w:hint="eastAsia"/>
              </w:rPr>
              <w:t>隔膜式</w:t>
            </w:r>
          </w:p>
        </w:tc>
        <w:tc>
          <w:tcPr>
            <w:tcW w:w="1117" w:type="dxa"/>
            <w:noWrap w:val="0"/>
            <w:vAlign w:val="center"/>
          </w:tcPr>
          <w:p>
            <w:pPr>
              <w:pStyle w:val="9"/>
              <w:bidi w:val="0"/>
              <w:rPr>
                <w:rFonts w:hint="eastAsia"/>
              </w:rPr>
            </w:pPr>
            <w:r>
              <w:rPr>
                <w:rFonts w:hint="eastAsia"/>
              </w:rPr>
              <w:t>&lt;120</w:t>
            </w:r>
          </w:p>
        </w:tc>
        <w:tc>
          <w:tcPr>
            <w:tcW w:w="1049" w:type="dxa"/>
            <w:noWrap w:val="0"/>
            <w:vAlign w:val="center"/>
          </w:tcPr>
          <w:p>
            <w:pPr>
              <w:pStyle w:val="9"/>
              <w:bidi w:val="0"/>
              <w:rPr>
                <w:rFonts w:hint="eastAsia"/>
              </w:rPr>
            </w:pPr>
            <w:r>
              <w:rPr>
                <w:rFonts w:hint="eastAsia"/>
              </w:rPr>
              <w:t>120</w:t>
            </w:r>
          </w:p>
        </w:tc>
        <w:tc>
          <w:tcPr>
            <w:tcW w:w="1189" w:type="dxa"/>
            <w:noWrap w:val="0"/>
            <w:vAlign w:val="center"/>
          </w:tcPr>
          <w:p>
            <w:pPr>
              <w:pStyle w:val="9"/>
              <w:bidi w:val="0"/>
              <w:rPr>
                <w:rFonts w:hint="eastAsia"/>
              </w:rPr>
            </w:pPr>
            <w:r>
              <w:rPr>
                <w:rFonts w:hint="eastAsia"/>
              </w:rPr>
              <w:t>&gt;150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92" w:type="dxa"/>
            <w:noWrap w:val="0"/>
            <w:vAlign w:val="center"/>
          </w:tcPr>
          <w:p>
            <w:pPr>
              <w:pStyle w:val="9"/>
              <w:bidi w:val="0"/>
              <w:rPr>
                <w:rFonts w:hint="eastAsia"/>
              </w:rPr>
            </w:pPr>
            <w:r>
              <w:rPr>
                <w:rFonts w:hint="eastAsia"/>
              </w:rPr>
              <w:t>11</w:t>
            </w:r>
          </w:p>
        </w:tc>
        <w:tc>
          <w:tcPr>
            <w:tcW w:w="2414" w:type="dxa"/>
            <w:noWrap w:val="0"/>
            <w:vAlign w:val="center"/>
          </w:tcPr>
          <w:p>
            <w:pPr>
              <w:pStyle w:val="9"/>
              <w:bidi w:val="0"/>
              <w:rPr>
                <w:rFonts w:hint="eastAsia"/>
              </w:rPr>
            </w:pPr>
            <w:r>
              <w:rPr>
                <w:rFonts w:hint="eastAsia"/>
              </w:rPr>
              <w:t>总烃绝对产气速率ml/天</w:t>
            </w:r>
          </w:p>
        </w:tc>
        <w:tc>
          <w:tcPr>
            <w:tcW w:w="1450" w:type="dxa"/>
            <w:noWrap w:val="0"/>
            <w:vAlign w:val="center"/>
          </w:tcPr>
          <w:p>
            <w:pPr>
              <w:pStyle w:val="9"/>
              <w:bidi w:val="0"/>
              <w:rPr>
                <w:rFonts w:hint="eastAsia"/>
              </w:rPr>
            </w:pPr>
            <w:r>
              <w:rPr>
                <w:rFonts w:hint="eastAsia"/>
              </w:rPr>
              <w:t>110kV及以上</w:t>
            </w:r>
          </w:p>
        </w:tc>
        <w:tc>
          <w:tcPr>
            <w:tcW w:w="1175" w:type="dxa"/>
            <w:noWrap w:val="0"/>
            <w:vAlign w:val="center"/>
          </w:tcPr>
          <w:p>
            <w:pPr>
              <w:pStyle w:val="9"/>
              <w:bidi w:val="0"/>
              <w:rPr>
                <w:rFonts w:hint="eastAsia"/>
              </w:rPr>
            </w:pPr>
            <w:r>
              <w:rPr>
                <w:rFonts w:hint="eastAsia"/>
              </w:rPr>
              <w:t>隔膜式</w:t>
            </w:r>
          </w:p>
        </w:tc>
        <w:tc>
          <w:tcPr>
            <w:tcW w:w="1117" w:type="dxa"/>
            <w:noWrap w:val="0"/>
            <w:vAlign w:val="center"/>
          </w:tcPr>
          <w:p>
            <w:pPr>
              <w:pStyle w:val="9"/>
              <w:bidi w:val="0"/>
              <w:rPr>
                <w:rFonts w:hint="eastAsia"/>
              </w:rPr>
            </w:pPr>
            <w:r>
              <w:rPr>
                <w:rFonts w:hint="eastAsia"/>
              </w:rPr>
              <w:t>&lt;3.6</w:t>
            </w:r>
          </w:p>
        </w:tc>
        <w:tc>
          <w:tcPr>
            <w:tcW w:w="1049" w:type="dxa"/>
            <w:noWrap w:val="0"/>
            <w:vAlign w:val="center"/>
          </w:tcPr>
          <w:p>
            <w:pPr>
              <w:pStyle w:val="9"/>
              <w:bidi w:val="0"/>
              <w:rPr>
                <w:rFonts w:hint="eastAsia"/>
              </w:rPr>
            </w:pPr>
            <w:r>
              <w:rPr>
                <w:rFonts w:hint="eastAsia"/>
              </w:rPr>
              <w:t>3.6</w:t>
            </w:r>
          </w:p>
        </w:tc>
        <w:tc>
          <w:tcPr>
            <w:tcW w:w="1189" w:type="dxa"/>
            <w:noWrap w:val="0"/>
            <w:vAlign w:val="center"/>
          </w:tcPr>
          <w:p>
            <w:pPr>
              <w:pStyle w:val="9"/>
              <w:bidi w:val="0"/>
              <w:rPr>
                <w:rFonts w:hint="eastAsia"/>
              </w:rPr>
            </w:pPr>
            <w:r>
              <w:rPr>
                <w:rFonts w:hint="eastAsia"/>
              </w:rPr>
              <w:t>&gt;12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92"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12</w:t>
            </w:r>
          </w:p>
        </w:tc>
        <w:tc>
          <w:tcPr>
            <w:tcW w:w="2414"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总烃绝对产气速率ml/天</w:t>
            </w:r>
          </w:p>
        </w:tc>
        <w:tc>
          <w:tcPr>
            <w:tcW w:w="1450"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110kV及以上</w:t>
            </w:r>
          </w:p>
        </w:tc>
        <w:tc>
          <w:tcPr>
            <w:tcW w:w="1175"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开放式</w:t>
            </w:r>
          </w:p>
        </w:tc>
        <w:tc>
          <w:tcPr>
            <w:tcW w:w="1117"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&lt;1.8</w:t>
            </w:r>
          </w:p>
        </w:tc>
        <w:tc>
          <w:tcPr>
            <w:tcW w:w="1049"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1.8</w:t>
            </w:r>
          </w:p>
        </w:tc>
        <w:tc>
          <w:tcPr>
            <w:tcW w:w="1189"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&gt;6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92"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13</w:t>
            </w:r>
          </w:p>
        </w:tc>
        <w:tc>
          <w:tcPr>
            <w:tcW w:w="2414"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总烃相对产气速率(%/月)</w:t>
            </w:r>
          </w:p>
        </w:tc>
        <w:tc>
          <w:tcPr>
            <w:tcW w:w="1450"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110kV及以上</w:t>
            </w:r>
          </w:p>
        </w:tc>
        <w:tc>
          <w:tcPr>
            <w:tcW w:w="1175"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隔膜式</w:t>
            </w:r>
          </w:p>
        </w:tc>
        <w:tc>
          <w:tcPr>
            <w:tcW w:w="1117"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&lt;6</w:t>
            </w:r>
          </w:p>
        </w:tc>
        <w:tc>
          <w:tcPr>
            <w:tcW w:w="1049"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6</w:t>
            </w:r>
          </w:p>
        </w:tc>
        <w:tc>
          <w:tcPr>
            <w:tcW w:w="1189"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&gt;10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92"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备注</w:t>
            </w:r>
          </w:p>
        </w:tc>
        <w:tc>
          <w:tcPr>
            <w:tcW w:w="8394" w:type="dxa"/>
            <w:gridSpan w:val="6"/>
            <w:noWrap w:val="0"/>
            <w:vAlign w:val="center"/>
          </w:tcPr>
          <w:p>
            <w:pPr>
              <w:spacing w:line="360" w:lineRule="auto"/>
              <w:rPr>
                <w:rFonts w:hint="eastAsia" w:ascii="宋体" w:hAnsi="宋体" w:eastAsia="宋体" w:cs="宋体"/>
                <w:sz w:val="24"/>
                <w:szCs w:val="24"/>
              </w:rPr>
            </w:pPr>
          </w:p>
        </w:tc>
      </w:tr>
    </w:tbl>
    <w:p>
      <w:pPr>
        <w:pStyle w:val="4"/>
        <w:tabs>
          <w:tab w:val="left" w:pos="1287"/>
        </w:tabs>
        <w:jc w:val="left"/>
        <w:rPr>
          <w:rFonts w:hint="eastAsia"/>
          <w:kern w:val="0"/>
          <w:sz w:val="32"/>
        </w:rPr>
      </w:pPr>
      <w:bookmarkStart w:id="100" w:name="_Toc21396"/>
      <w:bookmarkStart w:id="101" w:name="_Toc12940"/>
      <w:bookmarkStart w:id="102" w:name="_Toc20148"/>
      <w:bookmarkStart w:id="103" w:name="_Toc30178"/>
      <w:bookmarkStart w:id="104" w:name="_Toc30198"/>
      <w:bookmarkStart w:id="105" w:name="_Toc16358"/>
      <w:bookmarkStart w:id="106" w:name="_Toc32341"/>
      <w:bookmarkStart w:id="107" w:name="_Toc22860"/>
      <w:bookmarkStart w:id="108" w:name="_Toc22764"/>
      <w:bookmarkStart w:id="109" w:name="_Toc6194"/>
      <w:bookmarkStart w:id="110" w:name="_Toc16802"/>
      <w:bookmarkStart w:id="111" w:name="_Toc30800"/>
      <w:bookmarkStart w:id="112" w:name="_Toc579"/>
      <w:bookmarkStart w:id="113" w:name="_Toc10624"/>
      <w:bookmarkStart w:id="114" w:name="_Toc18286"/>
      <w:bookmarkStart w:id="115" w:name="_Toc32753"/>
      <w:bookmarkStart w:id="116" w:name="_Toc21197"/>
      <w:bookmarkStart w:id="117" w:name="_Toc15509"/>
      <w:bookmarkStart w:id="118" w:name="_Toc15258"/>
      <w:bookmarkStart w:id="119" w:name="_Toc14122"/>
      <w:bookmarkStart w:id="120" w:name="_Toc15765"/>
      <w:bookmarkStart w:id="121" w:name="_Toc393354424"/>
      <w:r>
        <w:rPr>
          <w:rFonts w:hint="eastAsia"/>
          <w:kern w:val="0"/>
          <w:sz w:val="32"/>
        </w:rPr>
        <w:t>A.2</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Start w:id="122" w:name="_Toc10008"/>
      <w:bookmarkStart w:id="123" w:name="_Toc10722"/>
      <w:bookmarkStart w:id="124" w:name="_Toc1208"/>
      <w:bookmarkStart w:id="125" w:name="_Toc4737"/>
      <w:bookmarkStart w:id="126" w:name="_Toc8197"/>
      <w:bookmarkStart w:id="127" w:name="_Toc20789"/>
      <w:bookmarkStart w:id="128" w:name="_Toc26265"/>
      <w:bookmarkStart w:id="129" w:name="_Toc7967"/>
      <w:bookmarkStart w:id="130" w:name="_Toc14652"/>
      <w:bookmarkStart w:id="131" w:name="_Toc22945"/>
      <w:bookmarkStart w:id="132" w:name="_Toc459"/>
      <w:bookmarkStart w:id="133" w:name="_Toc236"/>
      <w:bookmarkStart w:id="134" w:name="_Toc20224"/>
      <w:bookmarkStart w:id="135" w:name="_Toc20583"/>
      <w:bookmarkStart w:id="136" w:name="_Toc29926"/>
      <w:bookmarkStart w:id="137" w:name="_Toc9768"/>
      <w:bookmarkStart w:id="138" w:name="_Toc9774"/>
      <w:bookmarkStart w:id="139" w:name="_Toc29055"/>
      <w:bookmarkStart w:id="140" w:name="_Toc25712"/>
      <w:bookmarkStart w:id="141" w:name="_Toc5154"/>
      <w:bookmarkStart w:id="142" w:name="_Toc2266"/>
      <w:bookmarkStart w:id="143" w:name="_Toc10767"/>
      <w:bookmarkStart w:id="144" w:name="_Toc10105"/>
      <w:bookmarkStart w:id="145" w:name="_Toc17321"/>
      <w:bookmarkStart w:id="146" w:name="_Toc20509"/>
      <w:bookmarkStart w:id="147" w:name="_Toc9996"/>
      <w:r>
        <w:rPr>
          <w:rFonts w:hint="eastAsia"/>
          <w:kern w:val="0"/>
          <w:sz w:val="32"/>
        </w:rPr>
        <w:t>变压器油中微水监测报警值</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pPr>
        <w:pStyle w:val="9"/>
        <w:bidi w:val="0"/>
      </w:pPr>
      <w:r>
        <w:rPr>
          <w:rFonts w:hint="eastAsia"/>
          <w:b/>
        </w:rPr>
        <w:t xml:space="preserve"> </w:t>
      </w:r>
      <w:r>
        <w:rPr>
          <w:rFonts w:hint="eastAsia"/>
        </w:rPr>
        <w:t xml:space="preserve"> 表2 变压器（电抗器）油中微水报警参数与报警值汇总表         </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2550"/>
        <w:gridCol w:w="1656"/>
        <w:gridCol w:w="1456"/>
        <w:gridCol w:w="1215"/>
        <w:gridCol w:w="13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31" w:type="dxa"/>
            <w:noWrap w:val="0"/>
            <w:vAlign w:val="center"/>
          </w:tcPr>
          <w:p>
            <w:pPr>
              <w:pStyle w:val="9"/>
              <w:bidi w:val="0"/>
            </w:pPr>
            <w:r>
              <w:rPr>
                <w:rFonts w:hint="eastAsia"/>
              </w:rPr>
              <w:t>序号</w:t>
            </w:r>
          </w:p>
        </w:tc>
        <w:tc>
          <w:tcPr>
            <w:tcW w:w="2550" w:type="dxa"/>
            <w:noWrap w:val="0"/>
            <w:vAlign w:val="center"/>
          </w:tcPr>
          <w:p>
            <w:pPr>
              <w:pStyle w:val="9"/>
              <w:bidi w:val="0"/>
            </w:pPr>
            <w:r>
              <w:rPr>
                <w:rFonts w:hint="eastAsia"/>
              </w:rPr>
              <w:t>报警参数</w:t>
            </w:r>
          </w:p>
        </w:tc>
        <w:tc>
          <w:tcPr>
            <w:tcW w:w="1656" w:type="dxa"/>
            <w:noWrap w:val="0"/>
            <w:vAlign w:val="center"/>
          </w:tcPr>
          <w:p>
            <w:pPr>
              <w:pStyle w:val="9"/>
              <w:bidi w:val="0"/>
              <w:rPr>
                <w:rFonts w:hint="eastAsia"/>
              </w:rPr>
            </w:pPr>
            <w:r>
              <w:rPr>
                <w:rFonts w:hint="eastAsia"/>
              </w:rPr>
              <w:t>电压等级</w:t>
            </w:r>
          </w:p>
        </w:tc>
        <w:tc>
          <w:tcPr>
            <w:tcW w:w="1456" w:type="dxa"/>
            <w:noWrap w:val="0"/>
            <w:vAlign w:val="center"/>
          </w:tcPr>
          <w:p>
            <w:pPr>
              <w:pStyle w:val="9"/>
              <w:bidi w:val="0"/>
              <w:rPr>
                <w:rFonts w:hint="eastAsia"/>
              </w:rPr>
            </w:pPr>
            <w:r>
              <w:rPr>
                <w:rFonts w:hint="eastAsia"/>
              </w:rPr>
              <w:t>正常范围</w:t>
            </w:r>
          </w:p>
        </w:tc>
        <w:tc>
          <w:tcPr>
            <w:tcW w:w="1215" w:type="dxa"/>
            <w:noWrap w:val="0"/>
            <w:vAlign w:val="center"/>
          </w:tcPr>
          <w:p>
            <w:pPr>
              <w:pStyle w:val="9"/>
              <w:bidi w:val="0"/>
            </w:pPr>
            <w:r>
              <w:rPr>
                <w:rFonts w:hint="eastAsia"/>
              </w:rPr>
              <w:t>预警值</w:t>
            </w:r>
          </w:p>
        </w:tc>
        <w:tc>
          <w:tcPr>
            <w:tcW w:w="1378" w:type="dxa"/>
            <w:noWrap w:val="0"/>
            <w:vAlign w:val="center"/>
          </w:tcPr>
          <w:p>
            <w:pPr>
              <w:pStyle w:val="9"/>
              <w:bidi w:val="0"/>
            </w:pPr>
            <w:r>
              <w:rPr>
                <w:rFonts w:hint="eastAsia"/>
              </w:rPr>
              <w:t>报警值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31" w:type="dxa"/>
            <w:noWrap w:val="0"/>
            <w:vAlign w:val="center"/>
          </w:tcPr>
          <w:p>
            <w:pPr>
              <w:pStyle w:val="9"/>
              <w:bidi w:val="0"/>
              <w:rPr>
                <w:rFonts w:hint="eastAsia"/>
              </w:rPr>
            </w:pPr>
            <w:r>
              <w:rPr>
                <w:rFonts w:hint="eastAsia"/>
              </w:rPr>
              <w:t>1</w:t>
            </w:r>
          </w:p>
        </w:tc>
        <w:tc>
          <w:tcPr>
            <w:tcW w:w="2550" w:type="dxa"/>
            <w:noWrap w:val="0"/>
            <w:vAlign w:val="center"/>
          </w:tcPr>
          <w:p>
            <w:pPr>
              <w:pStyle w:val="9"/>
              <w:bidi w:val="0"/>
            </w:pPr>
            <w:r>
              <w:t>水分(mg/L)</w:t>
            </w:r>
          </w:p>
        </w:tc>
        <w:tc>
          <w:tcPr>
            <w:tcW w:w="1656" w:type="dxa"/>
            <w:noWrap w:val="0"/>
            <w:vAlign w:val="center"/>
          </w:tcPr>
          <w:p>
            <w:pPr>
              <w:pStyle w:val="9"/>
              <w:bidi w:val="0"/>
            </w:pPr>
            <w:r>
              <w:t>220kV</w:t>
            </w:r>
            <w:r>
              <w:rPr>
                <w:rFonts w:hint="eastAsia"/>
              </w:rPr>
              <w:t>及以下</w:t>
            </w:r>
          </w:p>
        </w:tc>
        <w:tc>
          <w:tcPr>
            <w:tcW w:w="1456" w:type="dxa"/>
            <w:noWrap w:val="0"/>
            <w:vAlign w:val="center"/>
          </w:tcPr>
          <w:p>
            <w:pPr>
              <w:pStyle w:val="9"/>
              <w:bidi w:val="0"/>
              <w:rPr>
                <w:rFonts w:hint="eastAsia"/>
              </w:rPr>
            </w:pPr>
            <w:r>
              <w:t>&lt;</w:t>
            </w:r>
            <w:r>
              <w:rPr>
                <w:rFonts w:hint="eastAsia"/>
              </w:rPr>
              <w:t>20</w:t>
            </w:r>
          </w:p>
        </w:tc>
        <w:tc>
          <w:tcPr>
            <w:tcW w:w="1215" w:type="dxa"/>
            <w:noWrap w:val="0"/>
            <w:vAlign w:val="center"/>
          </w:tcPr>
          <w:p>
            <w:pPr>
              <w:pStyle w:val="9"/>
              <w:bidi w:val="0"/>
              <w:rPr>
                <w:rFonts w:hint="eastAsia"/>
              </w:rPr>
            </w:pPr>
            <w:r>
              <w:rPr>
                <w:rFonts w:hint="eastAsia"/>
              </w:rPr>
              <w:t>20</w:t>
            </w:r>
          </w:p>
        </w:tc>
        <w:tc>
          <w:tcPr>
            <w:tcW w:w="1378" w:type="dxa"/>
            <w:noWrap w:val="0"/>
            <w:vAlign w:val="center"/>
          </w:tcPr>
          <w:p>
            <w:pPr>
              <w:pStyle w:val="9"/>
              <w:bidi w:val="0"/>
              <w:rPr>
                <w:rFonts w:hint="eastAsia"/>
              </w:rPr>
            </w:pPr>
            <w:r>
              <w:t>&gt;</w:t>
            </w:r>
            <w:r>
              <w:rPr>
                <w:rFonts w:hint="eastAsia"/>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31" w:type="dxa"/>
            <w:noWrap w:val="0"/>
            <w:vAlign w:val="center"/>
          </w:tcPr>
          <w:p>
            <w:pPr>
              <w:pStyle w:val="9"/>
              <w:bidi w:val="0"/>
              <w:rPr>
                <w:rFonts w:hint="eastAsia"/>
              </w:rPr>
            </w:pPr>
            <w:r>
              <w:rPr>
                <w:rFonts w:hint="eastAsia"/>
              </w:rPr>
              <w:t>2</w:t>
            </w:r>
          </w:p>
        </w:tc>
        <w:tc>
          <w:tcPr>
            <w:tcW w:w="2550" w:type="dxa"/>
            <w:noWrap w:val="0"/>
            <w:vAlign w:val="center"/>
          </w:tcPr>
          <w:p>
            <w:pPr>
              <w:pStyle w:val="9"/>
              <w:bidi w:val="0"/>
              <w:rPr>
                <w:rFonts w:hint="eastAsia"/>
              </w:rPr>
            </w:pPr>
            <w:r>
              <w:rPr>
                <w:rFonts w:hint="eastAsia"/>
              </w:rPr>
              <w:t>水分</w:t>
            </w:r>
            <w:r>
              <w:t>(mg/L)</w:t>
            </w:r>
          </w:p>
        </w:tc>
        <w:tc>
          <w:tcPr>
            <w:tcW w:w="1656" w:type="dxa"/>
            <w:noWrap w:val="0"/>
            <w:vAlign w:val="center"/>
          </w:tcPr>
          <w:p>
            <w:pPr>
              <w:pStyle w:val="9"/>
              <w:bidi w:val="0"/>
              <w:rPr>
                <w:rFonts w:hint="eastAsia"/>
              </w:rPr>
            </w:pPr>
            <w:r>
              <w:rPr>
                <w:rFonts w:hint="eastAsia"/>
              </w:rPr>
              <w:t>330 kV及以上</w:t>
            </w:r>
          </w:p>
        </w:tc>
        <w:tc>
          <w:tcPr>
            <w:tcW w:w="1456" w:type="dxa"/>
            <w:noWrap w:val="0"/>
            <w:vAlign w:val="center"/>
          </w:tcPr>
          <w:p>
            <w:pPr>
              <w:pStyle w:val="9"/>
              <w:bidi w:val="0"/>
              <w:rPr>
                <w:rFonts w:hint="eastAsia"/>
              </w:rPr>
            </w:pPr>
            <w:r>
              <w:t>&lt;</w:t>
            </w:r>
            <w:r>
              <w:rPr>
                <w:rFonts w:hint="eastAsia"/>
              </w:rPr>
              <w:t>12</w:t>
            </w:r>
          </w:p>
        </w:tc>
        <w:tc>
          <w:tcPr>
            <w:tcW w:w="1215" w:type="dxa"/>
            <w:noWrap w:val="0"/>
            <w:vAlign w:val="center"/>
          </w:tcPr>
          <w:p>
            <w:pPr>
              <w:pStyle w:val="9"/>
              <w:bidi w:val="0"/>
            </w:pPr>
            <w:r>
              <w:rPr>
                <w:rFonts w:hint="eastAsia"/>
              </w:rPr>
              <w:t>12</w:t>
            </w:r>
          </w:p>
        </w:tc>
        <w:tc>
          <w:tcPr>
            <w:tcW w:w="1378" w:type="dxa"/>
            <w:noWrap w:val="0"/>
            <w:vAlign w:val="center"/>
          </w:tcPr>
          <w:p>
            <w:pPr>
              <w:pStyle w:val="9"/>
              <w:bidi w:val="0"/>
            </w:pPr>
            <w:r>
              <w:t>&gt;</w:t>
            </w:r>
            <w:r>
              <w:rPr>
                <w:rFonts w:hint="eastAsia"/>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31" w:type="dxa"/>
            <w:noWrap w:val="0"/>
            <w:vAlign w:val="center"/>
          </w:tcPr>
          <w:p>
            <w:pPr>
              <w:pStyle w:val="9"/>
              <w:bidi w:val="0"/>
              <w:rPr>
                <w:rFonts w:hint="eastAsia"/>
              </w:rPr>
            </w:pPr>
            <w:r>
              <w:rPr>
                <w:rFonts w:hint="eastAsia"/>
              </w:rPr>
              <w:t>备注</w:t>
            </w:r>
          </w:p>
        </w:tc>
        <w:tc>
          <w:tcPr>
            <w:tcW w:w="8255" w:type="dxa"/>
            <w:gridSpan w:val="5"/>
            <w:noWrap w:val="0"/>
            <w:vAlign w:val="center"/>
          </w:tcPr>
          <w:p>
            <w:pPr>
              <w:pStyle w:val="9"/>
              <w:bidi w:val="0"/>
            </w:pPr>
          </w:p>
        </w:tc>
      </w:tr>
    </w:tbl>
    <w:p>
      <w:pPr>
        <w:pStyle w:val="4"/>
        <w:bidi w:val="0"/>
        <w:rPr>
          <w:rFonts w:hint="eastAsia"/>
        </w:rPr>
      </w:pPr>
      <w:bookmarkStart w:id="148" w:name="_Toc24689"/>
      <w:bookmarkStart w:id="149" w:name="_Toc26659"/>
      <w:bookmarkStart w:id="150" w:name="_Toc30922"/>
      <w:bookmarkStart w:id="151" w:name="_Toc26349"/>
      <w:bookmarkStart w:id="152" w:name="_Toc332359793"/>
      <w:bookmarkStart w:id="153" w:name="_Toc17947"/>
      <w:bookmarkStart w:id="154" w:name="_Toc24550"/>
      <w:bookmarkStart w:id="155" w:name="_Toc25826"/>
      <w:bookmarkStart w:id="156" w:name="_Toc30387"/>
      <w:bookmarkStart w:id="157" w:name="_Toc29589"/>
      <w:bookmarkStart w:id="158" w:name="_Toc31071"/>
      <w:bookmarkStart w:id="159" w:name="_Toc7740"/>
      <w:bookmarkStart w:id="160" w:name="_Toc19084"/>
      <w:bookmarkStart w:id="161" w:name="_Toc31547"/>
      <w:bookmarkStart w:id="162" w:name="_Toc32091"/>
      <w:bookmarkStart w:id="163" w:name="_Toc17448"/>
      <w:bookmarkStart w:id="164" w:name="_Toc24583"/>
      <w:bookmarkStart w:id="165" w:name="_Toc7484"/>
      <w:bookmarkStart w:id="166" w:name="_Toc2217"/>
      <w:bookmarkStart w:id="167" w:name="_Toc393354425"/>
      <w:bookmarkStart w:id="168" w:name="_Toc29311"/>
      <w:bookmarkStart w:id="169" w:name="_Toc23922"/>
      <w:bookmarkStart w:id="170" w:name="_Toc9490"/>
      <w:bookmarkStart w:id="171" w:name="_Toc3525"/>
      <w:bookmarkStart w:id="172" w:name="_Toc31151"/>
      <w:bookmarkStart w:id="173" w:name="_Toc31288"/>
      <w:bookmarkStart w:id="174" w:name="_Toc14980"/>
      <w:bookmarkStart w:id="175" w:name="_Toc1947"/>
      <w:bookmarkStart w:id="176" w:name="_Toc17128"/>
      <w:r>
        <w:rPr>
          <w:rFonts w:hint="eastAsia"/>
        </w:rPr>
        <w:t>A.3变压器铁芯接地电流监测装置</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pStyle w:val="9"/>
        <w:bidi w:val="0"/>
        <w:rPr>
          <w:rFonts w:hint="eastAsia"/>
        </w:rPr>
      </w:pPr>
      <w:r>
        <w:rPr>
          <w:rFonts w:hint="eastAsia"/>
        </w:rPr>
        <w:t>报警参数及报警值选取依据说明，分两级分别描述报警信号、报警标准、预防或处置措施。</w:t>
      </w:r>
    </w:p>
    <w:p>
      <w:pPr>
        <w:pStyle w:val="9"/>
        <w:bidi w:val="0"/>
      </w:pPr>
      <w:r>
        <w:rPr>
          <w:rFonts w:hint="eastAsia"/>
        </w:rPr>
        <w:t xml:space="preserve">表4 变压器（电抗器）铁芯接地电流报警参数与报警值汇总表          </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2791"/>
        <w:gridCol w:w="2325"/>
        <w:gridCol w:w="17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32" w:type="dxa"/>
            <w:noWrap w:val="0"/>
            <w:vAlign w:val="center"/>
          </w:tcPr>
          <w:p>
            <w:pPr>
              <w:pStyle w:val="9"/>
              <w:bidi w:val="0"/>
            </w:pPr>
            <w:r>
              <w:rPr>
                <w:rFonts w:hint="eastAsia"/>
              </w:rPr>
              <w:t>序号</w:t>
            </w:r>
          </w:p>
        </w:tc>
        <w:tc>
          <w:tcPr>
            <w:tcW w:w="2791" w:type="dxa"/>
            <w:noWrap w:val="0"/>
            <w:vAlign w:val="center"/>
          </w:tcPr>
          <w:p>
            <w:pPr>
              <w:pStyle w:val="9"/>
              <w:bidi w:val="0"/>
            </w:pPr>
            <w:r>
              <w:rPr>
                <w:rFonts w:hint="eastAsia"/>
              </w:rPr>
              <w:t>报警参数</w:t>
            </w:r>
          </w:p>
        </w:tc>
        <w:tc>
          <w:tcPr>
            <w:tcW w:w="2325" w:type="dxa"/>
            <w:noWrap w:val="0"/>
            <w:vAlign w:val="center"/>
          </w:tcPr>
          <w:p>
            <w:pPr>
              <w:pStyle w:val="9"/>
              <w:bidi w:val="0"/>
            </w:pPr>
            <w:r>
              <w:rPr>
                <w:rFonts w:hint="eastAsia"/>
              </w:rPr>
              <w:t>正常范围</w:t>
            </w:r>
          </w:p>
        </w:tc>
        <w:tc>
          <w:tcPr>
            <w:tcW w:w="1723" w:type="dxa"/>
            <w:noWrap w:val="0"/>
            <w:vAlign w:val="center"/>
          </w:tcPr>
          <w:p>
            <w:pPr>
              <w:pStyle w:val="9"/>
              <w:bidi w:val="0"/>
            </w:pPr>
            <w:r>
              <w:rPr>
                <w:rFonts w:hint="eastAsia"/>
              </w:rPr>
              <w:t>报警值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32" w:type="dxa"/>
            <w:noWrap w:val="0"/>
            <w:vAlign w:val="center"/>
          </w:tcPr>
          <w:p>
            <w:pPr>
              <w:pStyle w:val="9"/>
              <w:bidi w:val="0"/>
              <w:rPr>
                <w:rFonts w:hint="eastAsia"/>
              </w:rPr>
            </w:pPr>
            <w:r>
              <w:rPr>
                <w:rFonts w:hint="eastAsia"/>
              </w:rPr>
              <w:t>1</w:t>
            </w:r>
          </w:p>
        </w:tc>
        <w:tc>
          <w:tcPr>
            <w:tcW w:w="2791" w:type="dxa"/>
            <w:noWrap w:val="0"/>
            <w:vAlign w:val="center"/>
          </w:tcPr>
          <w:p>
            <w:pPr>
              <w:pStyle w:val="9"/>
              <w:bidi w:val="0"/>
            </w:pPr>
            <w:r>
              <w:rPr>
                <w:rFonts w:hint="eastAsia"/>
              </w:rPr>
              <w:t>全电流</w:t>
            </w:r>
          </w:p>
        </w:tc>
        <w:tc>
          <w:tcPr>
            <w:tcW w:w="2325" w:type="dxa"/>
            <w:noWrap w:val="0"/>
            <w:vAlign w:val="center"/>
          </w:tcPr>
          <w:p>
            <w:pPr>
              <w:pStyle w:val="9"/>
              <w:bidi w:val="0"/>
            </w:pPr>
            <w:r>
              <w:rPr>
                <w:rFonts w:hint="eastAsia"/>
              </w:rPr>
              <w:t>&lt;100mA</w:t>
            </w:r>
          </w:p>
        </w:tc>
        <w:tc>
          <w:tcPr>
            <w:tcW w:w="1723" w:type="dxa"/>
            <w:noWrap w:val="0"/>
            <w:vAlign w:val="center"/>
          </w:tcPr>
          <w:p>
            <w:pPr>
              <w:pStyle w:val="9"/>
              <w:bidi w:val="0"/>
            </w:pPr>
            <w:r>
              <w:rPr>
                <w:rFonts w:hint="eastAsia"/>
              </w:rPr>
              <w:t>100mA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32" w:type="dxa"/>
            <w:noWrap w:val="0"/>
            <w:vAlign w:val="center"/>
          </w:tcPr>
          <w:p>
            <w:pPr>
              <w:pStyle w:val="9"/>
              <w:bidi w:val="0"/>
              <w:rPr>
                <w:rFonts w:hint="eastAsia"/>
              </w:rPr>
            </w:pPr>
            <w:r>
              <w:rPr>
                <w:rFonts w:hint="eastAsia"/>
              </w:rPr>
              <w:t>备注</w:t>
            </w:r>
          </w:p>
        </w:tc>
        <w:tc>
          <w:tcPr>
            <w:tcW w:w="6839" w:type="dxa"/>
            <w:gridSpan w:val="3"/>
            <w:noWrap w:val="0"/>
            <w:vAlign w:val="center"/>
          </w:tcPr>
          <w:p>
            <w:pPr>
              <w:pStyle w:val="9"/>
              <w:bidi w:val="0"/>
            </w:pPr>
          </w:p>
        </w:tc>
      </w:tr>
    </w:tbl>
    <w:p>
      <w:pPr>
        <w:jc w:val="center"/>
        <w:rPr>
          <w:rFonts w:hint="default"/>
          <w:sz w:val="24"/>
          <w:lang w:val="en-US" w:eastAsia="zh-CN"/>
        </w:rPr>
      </w:pPr>
    </w:p>
    <w:sectPr>
      <w:headerReference r:id="rId9" w:type="default"/>
      <w:pgSz w:w="11906" w:h="16838"/>
      <w:pgMar w:top="1440" w:right="1800" w:bottom="1440" w:left="1800" w:header="851" w:footer="992" w:gutter="0"/>
      <w:cols w:space="425" w:num="1"/>
      <w:docGrid w:type="lines" w:linePitch="312" w:charSpace="0"/>
    </w:sectPr>
  </w:body>
</w:document>
</file>